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rPr>
        <w:id w:val="157125557"/>
        <w:docPartObj>
          <w:docPartGallery w:val="Cover Pages"/>
          <w:docPartUnique/>
        </w:docPartObj>
      </w:sdtPr>
      <w:sdtEndPr>
        <w:rPr>
          <w:rFonts w:ascii="Times New Roman" w:eastAsiaTheme="minorHAnsi" w:hAnsi="Times New Roman" w:cs="Times New Roman"/>
          <w:b/>
          <w:caps w:val="0"/>
          <w:sz w:val="48"/>
          <w:szCs w:val="48"/>
        </w:rPr>
      </w:sdtEndPr>
      <w:sdtContent>
        <w:tbl>
          <w:tblPr>
            <w:tblW w:w="5000" w:type="pct"/>
            <w:jc w:val="center"/>
            <w:tblLook w:val="04A0" w:firstRow="1" w:lastRow="0" w:firstColumn="1" w:lastColumn="0" w:noHBand="0" w:noVBand="1"/>
          </w:tblPr>
          <w:tblGrid>
            <w:gridCol w:w="9242"/>
          </w:tblGrid>
          <w:tr w:rsidR="008C282B">
            <w:trPr>
              <w:trHeight w:val="2880"/>
              <w:jc w:val="center"/>
            </w:trPr>
            <w:tc>
              <w:tcPr>
                <w:tcW w:w="5000" w:type="pct"/>
              </w:tcPr>
              <w:p w:rsidR="00D047FD" w:rsidRDefault="00FC25FA" w:rsidP="00D047FD">
                <w:pPr>
                  <w:pStyle w:val="NoSpacing"/>
                  <w:rPr>
                    <w:rFonts w:asciiTheme="majorHAnsi" w:eastAsiaTheme="majorEastAsia" w:hAnsiTheme="majorHAnsi" w:cstheme="majorBidi"/>
                    <w:caps/>
                  </w:rPr>
                </w:pPr>
                <w:r>
                  <w:rPr>
                    <w:noProof/>
                    <w:lang w:eastAsia="en-AU"/>
                  </w:rPr>
                  <w:drawing>
                    <wp:anchor distT="0" distB="0" distL="114300" distR="114300" simplePos="0" relativeHeight="251666432" behindDoc="1" locked="0" layoutInCell="1" allowOverlap="1" wp14:anchorId="71579568" wp14:editId="480BB1F7">
                      <wp:simplePos x="0" y="0"/>
                      <wp:positionH relativeFrom="column">
                        <wp:posOffset>-762000</wp:posOffset>
                      </wp:positionH>
                      <wp:positionV relativeFrom="paragraph">
                        <wp:posOffset>-1649730</wp:posOffset>
                      </wp:positionV>
                      <wp:extent cx="7261860" cy="10363200"/>
                      <wp:effectExtent l="0" t="0" r="0" b="0"/>
                      <wp:wrapNone/>
                      <wp:docPr id="5" name="Picture 5" descr="C:\Users\Able Valued Client\Desktop\Case_Builder\DSCI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le Valued Client\Desktop\Case_Builder\DSCI143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61860" cy="1036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7FD" w:rsidRPr="00351902">
                  <w:rPr>
                    <w:noProof/>
                    <w:color w:val="000000"/>
                    <w:sz w:val="28"/>
                    <w:szCs w:val="28"/>
                    <w:lang w:eastAsia="en-AU"/>
                  </w:rPr>
                  <w:drawing>
                    <wp:anchor distT="0" distB="0" distL="114300" distR="114300" simplePos="0" relativeHeight="251664384" behindDoc="0" locked="0" layoutInCell="0" allowOverlap="1" wp14:anchorId="03B71BE3" wp14:editId="22B58E10">
                      <wp:simplePos x="0" y="0"/>
                      <wp:positionH relativeFrom="column">
                        <wp:posOffset>1897380</wp:posOffset>
                      </wp:positionH>
                      <wp:positionV relativeFrom="paragraph">
                        <wp:posOffset>259080</wp:posOffset>
                      </wp:positionV>
                      <wp:extent cx="1600200" cy="547370"/>
                      <wp:effectExtent l="0" t="0" r="0" b="5080"/>
                      <wp:wrapSquare wrapText="r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0200" cy="547370"/>
                              </a:xfrm>
                              <a:prstGeom prst="rect">
                                <a:avLst/>
                              </a:prstGeom>
                              <a:noFill/>
                            </pic:spPr>
                          </pic:pic>
                        </a:graphicData>
                      </a:graphic>
                      <wp14:sizeRelH relativeFrom="margin">
                        <wp14:pctWidth>0</wp14:pctWidth>
                      </wp14:sizeRelH>
                    </wp:anchor>
                  </w:drawing>
                </w:r>
                <w:r w:rsidR="002F64E5">
                  <w:rPr>
                    <w:rFonts w:asciiTheme="majorHAnsi" w:eastAsiaTheme="majorEastAsia" w:hAnsiTheme="majorHAnsi" w:cstheme="majorBidi"/>
                    <w:caps/>
                    <w:noProof/>
                    <w:lang w:eastAsia="en-AU"/>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9" type="#_x0000_t144" style="position:absolute;margin-left:118.8pt;margin-top:-3.6pt;width:196.2pt;height:126pt;z-index:251662336;mso-position-horizontal-relative:text;mso-position-vertical-relative:text" o:allowincell="f" adj="11545593" fillcolor="blue" strokecolor="blue">
                      <v:shadow color="#868686"/>
                      <v:textpath style="font-family:&quot;Calligrapher&quot;;font-size:12pt" fitshape="t" trim="t" string="AKALI TANGE"/>
                    </v:shape>
                  </w:pict>
                </w:r>
              </w:p>
              <w:p w:rsidR="00D047FD" w:rsidRPr="00D047FD" w:rsidRDefault="00D047FD" w:rsidP="00D047FD">
                <w:pPr>
                  <w:pStyle w:val="Heading3"/>
                  <w:jc w:val="center"/>
                  <w:rPr>
                    <w:rFonts w:eastAsiaTheme="majorEastAsia"/>
                  </w:rPr>
                </w:pPr>
                <w:r>
                  <w:rPr>
                    <w:rFonts w:eastAsiaTheme="majorEastAsia"/>
                  </w:rPr>
                  <w:t>ASSOCIATION INC</w:t>
                </w:r>
              </w:p>
              <w:p w:rsidR="00D047FD" w:rsidRPr="00D047FD" w:rsidRDefault="00D047FD" w:rsidP="00D047FD"/>
              <w:p w:rsidR="00D047FD" w:rsidRPr="00D047FD" w:rsidRDefault="00D047FD" w:rsidP="00D047FD"/>
              <w:p w:rsidR="008C282B" w:rsidRPr="00D047FD" w:rsidRDefault="00D047FD" w:rsidP="00D047FD">
                <w:pPr>
                  <w:tabs>
                    <w:tab w:val="left" w:pos="936"/>
                  </w:tabs>
                </w:pPr>
                <w:r>
                  <w:tab/>
                </w:r>
              </w:p>
            </w:tc>
          </w:tr>
          <w:tr w:rsidR="008C282B">
            <w:trPr>
              <w:trHeight w:val="1440"/>
              <w:jc w:val="center"/>
            </w:trPr>
            <w:sdt>
              <w:sdtPr>
                <w:rPr>
                  <w:rFonts w:asciiTheme="majorHAnsi" w:eastAsiaTheme="majorEastAsia" w:hAnsiTheme="majorHAnsi" w:cstheme="majorBidi"/>
                  <w:color w:val="FFFF00"/>
                  <w:sz w:val="80"/>
                  <w:szCs w:val="80"/>
                </w:rPr>
                <w:alias w:val="Title"/>
                <w:id w:val="15524250"/>
                <w:placeholder>
                  <w:docPart w:val="23ABD5D11D754CAC95D89580DAB733B0"/>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8C282B" w:rsidRDefault="008C282B" w:rsidP="008C282B">
                    <w:pPr>
                      <w:pStyle w:val="NoSpacing"/>
                      <w:jc w:val="center"/>
                      <w:rPr>
                        <w:rFonts w:asciiTheme="majorHAnsi" w:eastAsiaTheme="majorEastAsia" w:hAnsiTheme="majorHAnsi" w:cstheme="majorBidi"/>
                        <w:sz w:val="80"/>
                        <w:szCs w:val="80"/>
                      </w:rPr>
                    </w:pPr>
                    <w:r w:rsidRPr="00FC25FA">
                      <w:rPr>
                        <w:rFonts w:asciiTheme="majorHAnsi" w:eastAsiaTheme="majorEastAsia" w:hAnsiTheme="majorHAnsi" w:cstheme="majorBidi"/>
                        <w:color w:val="FFFF00"/>
                        <w:sz w:val="80"/>
                        <w:szCs w:val="80"/>
                      </w:rPr>
                      <w:t>ATA’s POSITION PAPER</w:t>
                    </w:r>
                  </w:p>
                </w:tc>
              </w:sdtContent>
            </w:sdt>
          </w:tr>
          <w:tr w:rsidR="008C282B">
            <w:trPr>
              <w:trHeight w:val="720"/>
              <w:jc w:val="center"/>
            </w:trPr>
            <w:sdt>
              <w:sdtPr>
                <w:rPr>
                  <w:rFonts w:asciiTheme="majorHAnsi" w:eastAsiaTheme="majorEastAsia" w:hAnsiTheme="majorHAnsi" w:cstheme="majorBidi"/>
                  <w:color w:val="FFFF00"/>
                  <w:sz w:val="44"/>
                  <w:szCs w:val="44"/>
                </w:rPr>
                <w:alias w:val="Subtitle"/>
                <w:id w:val="15524255"/>
                <w:placeholder>
                  <w:docPart w:val="7A2FF8705FE741BEB09D508D920D09A4"/>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8C282B" w:rsidRDefault="00FC25FA" w:rsidP="008C282B">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color w:val="FFFF00"/>
                        <w:sz w:val="44"/>
                        <w:szCs w:val="44"/>
                      </w:rPr>
                      <w:t>I</w:t>
                    </w:r>
                    <w:r w:rsidR="008C282B" w:rsidRPr="00FC25FA">
                      <w:rPr>
                        <w:rFonts w:asciiTheme="majorHAnsi" w:eastAsiaTheme="majorEastAsia" w:hAnsiTheme="majorHAnsi" w:cstheme="majorBidi"/>
                        <w:color w:val="FFFF00"/>
                        <w:sz w:val="44"/>
                        <w:szCs w:val="44"/>
                      </w:rPr>
                      <w:t>N PETITIONING THE BARRICK GOLD CORP</w:t>
                    </w:r>
                  </w:p>
                </w:tc>
              </w:sdtContent>
            </w:sdt>
          </w:tr>
          <w:tr w:rsidR="008C282B">
            <w:trPr>
              <w:trHeight w:val="360"/>
              <w:jc w:val="center"/>
            </w:trPr>
            <w:tc>
              <w:tcPr>
                <w:tcW w:w="5000" w:type="pct"/>
                <w:vAlign w:val="center"/>
              </w:tcPr>
              <w:p w:rsidR="008C282B" w:rsidRDefault="008C282B">
                <w:pPr>
                  <w:pStyle w:val="NoSpacing"/>
                  <w:jc w:val="center"/>
                </w:pPr>
              </w:p>
            </w:tc>
          </w:tr>
          <w:tr w:rsidR="008C282B">
            <w:trPr>
              <w:trHeight w:val="360"/>
              <w:jc w:val="center"/>
            </w:trPr>
            <w:sdt>
              <w:sdtPr>
                <w:rPr>
                  <w:b/>
                  <w:bCs/>
                  <w:color w:val="FFFF00"/>
                </w:rPr>
                <w:alias w:val="Author"/>
                <w:id w:val="15524260"/>
                <w:placeholder>
                  <w:docPart w:val="2D2744D8B3C141948814F058592348BA"/>
                </w:placeholder>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8C282B" w:rsidRDefault="0060327C" w:rsidP="0060327C">
                    <w:pPr>
                      <w:pStyle w:val="NoSpacing"/>
                      <w:jc w:val="center"/>
                      <w:rPr>
                        <w:b/>
                        <w:bCs/>
                      </w:rPr>
                    </w:pPr>
                    <w:r>
                      <w:rPr>
                        <w:b/>
                        <w:bCs/>
                        <w:color w:val="FFFF00"/>
                      </w:rPr>
                      <w:t>MCDIYAN ROBERT YAPARI</w:t>
                    </w:r>
                  </w:p>
                </w:tc>
              </w:sdtContent>
            </w:sdt>
          </w:tr>
          <w:tr w:rsidR="008C282B">
            <w:trPr>
              <w:trHeight w:val="360"/>
              <w:jc w:val="center"/>
            </w:trPr>
            <w:sdt>
              <w:sdtPr>
                <w:rPr>
                  <w:b/>
                  <w:bCs/>
                  <w:color w:val="FFFF00"/>
                </w:rPr>
                <w:alias w:val="Date"/>
                <w:id w:val="516659546"/>
                <w:dataBinding w:prefixMappings="xmlns:ns0='http://schemas.microsoft.com/office/2006/coverPageProps'" w:xpath="/ns0:CoverPageProperties[1]/ns0:PublishDate[1]" w:storeItemID="{55AF091B-3C7A-41E3-B477-F2FDAA23CFDA}"/>
                <w:date w:fullDate="2019-04-29T00:00:00Z">
                  <w:dateFormat w:val="M/d/yyyy"/>
                  <w:lid w:val="en-US"/>
                  <w:storeMappedDataAs w:val="dateTime"/>
                  <w:calendar w:val="gregorian"/>
                </w:date>
              </w:sdtPr>
              <w:sdtEndPr/>
              <w:sdtContent>
                <w:tc>
                  <w:tcPr>
                    <w:tcW w:w="5000" w:type="pct"/>
                    <w:vAlign w:val="center"/>
                  </w:tcPr>
                  <w:p w:rsidR="008C282B" w:rsidRDefault="008C282B">
                    <w:pPr>
                      <w:pStyle w:val="NoSpacing"/>
                      <w:jc w:val="center"/>
                      <w:rPr>
                        <w:b/>
                        <w:bCs/>
                      </w:rPr>
                    </w:pPr>
                    <w:r w:rsidRPr="00FC25FA">
                      <w:rPr>
                        <w:b/>
                        <w:bCs/>
                        <w:color w:val="FFFF00"/>
                        <w:lang w:val="en-US"/>
                      </w:rPr>
                      <w:t>4/29/2019</w:t>
                    </w:r>
                  </w:p>
                </w:tc>
              </w:sdtContent>
            </w:sdt>
          </w:tr>
        </w:tbl>
        <w:p w:rsidR="008C282B" w:rsidRDefault="008C282B"/>
        <w:p w:rsidR="008C282B" w:rsidRDefault="008C282B"/>
        <w:tbl>
          <w:tblPr>
            <w:tblpPr w:leftFromText="187" w:rightFromText="187" w:horzAnchor="margin" w:tblpXSpec="center" w:tblpYSpec="bottom"/>
            <w:tblW w:w="5000" w:type="pct"/>
            <w:tblLook w:val="04A0" w:firstRow="1" w:lastRow="0" w:firstColumn="1" w:lastColumn="0" w:noHBand="0" w:noVBand="1"/>
          </w:tblPr>
          <w:tblGrid>
            <w:gridCol w:w="9242"/>
          </w:tblGrid>
          <w:tr w:rsidR="008C282B">
            <w:sdt>
              <w:sdtPr>
                <w:rPr>
                  <w:rFonts w:ascii="Times New Roman" w:eastAsiaTheme="majorEastAsia" w:hAnsi="Times New Roman" w:cs="Times New Roman"/>
                  <w:i/>
                  <w:iCs/>
                  <w:sz w:val="24"/>
                </w:r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rsidR="008C282B" w:rsidRDefault="008C282B" w:rsidP="0006618F">
                    <w:pPr>
                      <w:pStyle w:val="NoSpacing"/>
                    </w:pPr>
                    <w:r w:rsidRPr="008C282B">
                      <w:rPr>
                        <w:rFonts w:ascii="Times New Roman" w:eastAsiaTheme="majorEastAsia" w:hAnsi="Times New Roman" w:cs="Times New Roman"/>
                        <w:i/>
                        <w:iCs/>
                        <w:sz w:val="24"/>
                      </w:rPr>
                      <w:t xml:space="preserve"> This position paper explains and presents the Akali Tang</w:t>
                    </w:r>
                    <w:r w:rsidR="00FC25FA">
                      <w:rPr>
                        <w:rFonts w:ascii="Times New Roman" w:eastAsiaTheme="majorEastAsia" w:hAnsi="Times New Roman" w:cs="Times New Roman"/>
                        <w:i/>
                        <w:iCs/>
                        <w:sz w:val="24"/>
                      </w:rPr>
                      <w:t>e Association’s (ATA) position i</w:t>
                    </w:r>
                    <w:r w:rsidRPr="008C282B">
                      <w:rPr>
                        <w:rFonts w:ascii="Times New Roman" w:eastAsiaTheme="majorEastAsia" w:hAnsi="Times New Roman" w:cs="Times New Roman"/>
                        <w:i/>
                        <w:iCs/>
                        <w:sz w:val="24"/>
                      </w:rPr>
                      <w:t xml:space="preserve">n issuing the attached Petition to the Barrick Gold Corp and its subsidiarity Barrick Niugini Limited </w:t>
                    </w:r>
                    <w:r w:rsidR="0006618F">
                      <w:rPr>
                        <w:rFonts w:ascii="Times New Roman" w:eastAsiaTheme="majorEastAsia" w:hAnsi="Times New Roman" w:cs="Times New Roman"/>
                        <w:i/>
                        <w:iCs/>
                        <w:sz w:val="24"/>
                      </w:rPr>
                      <w:t>regarding</w:t>
                    </w:r>
                    <w:r w:rsidRPr="008C282B">
                      <w:rPr>
                        <w:rFonts w:ascii="Times New Roman" w:eastAsiaTheme="majorEastAsia" w:hAnsi="Times New Roman" w:cs="Times New Roman"/>
                        <w:i/>
                        <w:iCs/>
                        <w:sz w:val="24"/>
                      </w:rPr>
                      <w:t xml:space="preserve"> gross human rights violation issues caused and or created by these mining companies at its Porgera Gold Mine in the highlands of Papua New Guinea.</w:t>
                    </w:r>
                  </w:p>
                </w:tc>
              </w:sdtContent>
            </w:sdt>
          </w:tr>
        </w:tbl>
        <w:p w:rsidR="008C282B" w:rsidRDefault="008C282B"/>
        <w:p w:rsidR="008C282B" w:rsidRDefault="008C282B">
          <w:pPr>
            <w:rPr>
              <w:rFonts w:ascii="Times New Roman" w:hAnsi="Times New Roman" w:cs="Times New Roman"/>
              <w:b/>
              <w:sz w:val="48"/>
              <w:szCs w:val="48"/>
            </w:rPr>
          </w:pPr>
          <w:r>
            <w:rPr>
              <w:rFonts w:ascii="Times New Roman" w:hAnsi="Times New Roman" w:cs="Times New Roman"/>
              <w:b/>
              <w:sz w:val="48"/>
              <w:szCs w:val="48"/>
            </w:rPr>
            <w:br w:type="page"/>
          </w:r>
        </w:p>
      </w:sdtContent>
    </w:sdt>
    <w:p w:rsidR="00E52329" w:rsidRPr="002B57CA" w:rsidRDefault="00E52329" w:rsidP="005D6440">
      <w:pPr>
        <w:pStyle w:val="NoSpacing"/>
        <w:ind w:left="1440"/>
        <w:jc w:val="center"/>
        <w:rPr>
          <w:rFonts w:ascii="Times New Roman" w:hAnsi="Times New Roman" w:cs="Times New Roman"/>
          <w:b/>
          <w:sz w:val="48"/>
          <w:szCs w:val="48"/>
        </w:rPr>
      </w:pPr>
      <w:r w:rsidRPr="002B57CA">
        <w:rPr>
          <w:rFonts w:ascii="Times New Roman" w:hAnsi="Times New Roman" w:cs="Times New Roman"/>
          <w:b/>
          <w:sz w:val="48"/>
          <w:szCs w:val="48"/>
        </w:rPr>
        <w:lastRenderedPageBreak/>
        <w:t xml:space="preserve">Akali Tange Association’s Position Paper </w:t>
      </w:r>
      <w:r w:rsidR="00DE60B3">
        <w:rPr>
          <w:rFonts w:ascii="Times New Roman" w:hAnsi="Times New Roman" w:cs="Times New Roman"/>
          <w:b/>
          <w:sz w:val="48"/>
          <w:szCs w:val="48"/>
        </w:rPr>
        <w:t>in Issuing the Petition to Barrick Gold Corp</w:t>
      </w:r>
    </w:p>
    <w:p w:rsidR="00E52329" w:rsidRDefault="00E52329" w:rsidP="005D6440">
      <w:pPr>
        <w:jc w:val="both"/>
        <w:rPr>
          <w:rStyle w:val="Emphasis"/>
          <w:rFonts w:eastAsiaTheme="majorEastAsia"/>
          <w:i w:val="0"/>
        </w:rPr>
      </w:pPr>
    </w:p>
    <w:p w:rsidR="00E52329" w:rsidRPr="002B57CA" w:rsidRDefault="00E52329" w:rsidP="005D6440">
      <w:pPr>
        <w:pStyle w:val="NoSpacing"/>
        <w:numPr>
          <w:ilvl w:val="0"/>
          <w:numId w:val="1"/>
        </w:numPr>
        <w:jc w:val="both"/>
        <w:rPr>
          <w:rFonts w:ascii="Times New Roman" w:hAnsi="Times New Roman" w:cs="Times New Roman"/>
          <w:b/>
          <w:sz w:val="40"/>
          <w:szCs w:val="48"/>
        </w:rPr>
      </w:pPr>
      <w:r w:rsidRPr="002B57CA">
        <w:rPr>
          <w:rFonts w:ascii="Times New Roman" w:hAnsi="Times New Roman" w:cs="Times New Roman"/>
          <w:b/>
          <w:sz w:val="32"/>
          <w:szCs w:val="48"/>
        </w:rPr>
        <w:t xml:space="preserve">Introduction </w:t>
      </w:r>
      <w:r w:rsidRPr="002B57CA">
        <w:rPr>
          <w:rFonts w:ascii="Times New Roman" w:hAnsi="Times New Roman" w:cs="Times New Roman"/>
          <w:b/>
          <w:sz w:val="40"/>
          <w:szCs w:val="48"/>
        </w:rPr>
        <w:t xml:space="preserve"> </w:t>
      </w:r>
    </w:p>
    <w:p w:rsidR="00E52329" w:rsidRPr="00E52329" w:rsidRDefault="00E52329" w:rsidP="005D6440">
      <w:pPr>
        <w:jc w:val="both"/>
        <w:rPr>
          <w:rStyle w:val="Emphasis"/>
          <w:rFonts w:eastAsiaTheme="majorEastAsia"/>
          <w:i w:val="0"/>
        </w:rPr>
      </w:pPr>
    </w:p>
    <w:p w:rsidR="002B57CA" w:rsidRDefault="00E52329" w:rsidP="005D6440">
      <w:pPr>
        <w:jc w:val="both"/>
        <w:rPr>
          <w:rStyle w:val="Emphasis"/>
          <w:rFonts w:ascii="Times New Roman" w:eastAsiaTheme="majorEastAsia" w:hAnsi="Times New Roman" w:cs="Times New Roman"/>
          <w:i w:val="0"/>
          <w:sz w:val="24"/>
        </w:rPr>
      </w:pPr>
      <w:r w:rsidRPr="002B57CA">
        <w:rPr>
          <w:rStyle w:val="Emphasis"/>
          <w:rFonts w:ascii="Times New Roman" w:eastAsiaTheme="majorEastAsia" w:hAnsi="Times New Roman" w:cs="Times New Roman"/>
          <w:i w:val="0"/>
          <w:sz w:val="24"/>
        </w:rPr>
        <w:t xml:space="preserve">This position paper explains </w:t>
      </w:r>
      <w:r w:rsidR="002B57CA">
        <w:rPr>
          <w:rStyle w:val="Emphasis"/>
          <w:rFonts w:ascii="Times New Roman" w:eastAsiaTheme="majorEastAsia" w:hAnsi="Times New Roman" w:cs="Times New Roman"/>
          <w:i w:val="0"/>
          <w:sz w:val="24"/>
        </w:rPr>
        <w:t xml:space="preserve">and presents the Akali Tange Association’s </w:t>
      </w:r>
      <w:r w:rsidR="00E31379">
        <w:rPr>
          <w:rStyle w:val="Emphasis"/>
          <w:rFonts w:ascii="Times New Roman" w:eastAsiaTheme="majorEastAsia" w:hAnsi="Times New Roman" w:cs="Times New Roman"/>
          <w:i w:val="0"/>
          <w:sz w:val="24"/>
        </w:rPr>
        <w:t xml:space="preserve">(ATA) </w:t>
      </w:r>
      <w:r w:rsidR="0006618F">
        <w:rPr>
          <w:rStyle w:val="Emphasis"/>
          <w:rFonts w:ascii="Times New Roman" w:eastAsiaTheme="majorEastAsia" w:hAnsi="Times New Roman" w:cs="Times New Roman"/>
          <w:i w:val="0"/>
          <w:sz w:val="24"/>
        </w:rPr>
        <w:t>position i</w:t>
      </w:r>
      <w:r w:rsidR="002B57CA">
        <w:rPr>
          <w:rStyle w:val="Emphasis"/>
          <w:rFonts w:ascii="Times New Roman" w:eastAsiaTheme="majorEastAsia" w:hAnsi="Times New Roman" w:cs="Times New Roman"/>
          <w:i w:val="0"/>
          <w:sz w:val="24"/>
        </w:rPr>
        <w:t xml:space="preserve">n </w:t>
      </w:r>
      <w:r w:rsidR="00D84D28">
        <w:rPr>
          <w:rStyle w:val="Emphasis"/>
          <w:rFonts w:ascii="Times New Roman" w:eastAsiaTheme="majorEastAsia" w:hAnsi="Times New Roman" w:cs="Times New Roman"/>
          <w:i w:val="0"/>
          <w:sz w:val="24"/>
        </w:rPr>
        <w:t xml:space="preserve">issuing the attached Petition to the Barrick Gold Corp and its subsidiarity Barrick Niugini Limited </w:t>
      </w:r>
      <w:r w:rsidR="0006618F">
        <w:rPr>
          <w:rStyle w:val="Emphasis"/>
          <w:rFonts w:ascii="Times New Roman" w:eastAsiaTheme="majorEastAsia" w:hAnsi="Times New Roman" w:cs="Times New Roman"/>
          <w:i w:val="0"/>
          <w:sz w:val="24"/>
        </w:rPr>
        <w:t>regarding</w:t>
      </w:r>
      <w:r w:rsidR="00D84D28">
        <w:rPr>
          <w:rStyle w:val="Emphasis"/>
          <w:rFonts w:ascii="Times New Roman" w:eastAsiaTheme="majorEastAsia" w:hAnsi="Times New Roman" w:cs="Times New Roman"/>
          <w:i w:val="0"/>
          <w:sz w:val="24"/>
        </w:rPr>
        <w:t xml:space="preserve"> gross human rights violation </w:t>
      </w:r>
      <w:r w:rsidR="00B7163B">
        <w:rPr>
          <w:rStyle w:val="Emphasis"/>
          <w:rFonts w:ascii="Times New Roman" w:eastAsiaTheme="majorEastAsia" w:hAnsi="Times New Roman" w:cs="Times New Roman"/>
          <w:i w:val="0"/>
          <w:sz w:val="24"/>
        </w:rPr>
        <w:t xml:space="preserve">issues caused and </w:t>
      </w:r>
      <w:r w:rsidR="00E45C30">
        <w:rPr>
          <w:rStyle w:val="Emphasis"/>
          <w:rFonts w:ascii="Times New Roman" w:eastAsiaTheme="majorEastAsia" w:hAnsi="Times New Roman" w:cs="Times New Roman"/>
          <w:i w:val="0"/>
          <w:sz w:val="24"/>
        </w:rPr>
        <w:t xml:space="preserve">or </w:t>
      </w:r>
      <w:r w:rsidR="00B7163B">
        <w:rPr>
          <w:rStyle w:val="Emphasis"/>
          <w:rFonts w:ascii="Times New Roman" w:eastAsiaTheme="majorEastAsia" w:hAnsi="Times New Roman" w:cs="Times New Roman"/>
          <w:i w:val="0"/>
          <w:sz w:val="24"/>
        </w:rPr>
        <w:t>created by the</w:t>
      </w:r>
      <w:r w:rsidR="00D84D28">
        <w:rPr>
          <w:rStyle w:val="Emphasis"/>
          <w:rFonts w:ascii="Times New Roman" w:eastAsiaTheme="majorEastAsia" w:hAnsi="Times New Roman" w:cs="Times New Roman"/>
          <w:i w:val="0"/>
          <w:sz w:val="24"/>
        </w:rPr>
        <w:t>s</w:t>
      </w:r>
      <w:r w:rsidR="00B7163B">
        <w:rPr>
          <w:rStyle w:val="Emphasis"/>
          <w:rFonts w:ascii="Times New Roman" w:eastAsiaTheme="majorEastAsia" w:hAnsi="Times New Roman" w:cs="Times New Roman"/>
          <w:i w:val="0"/>
          <w:sz w:val="24"/>
        </w:rPr>
        <w:t>e</w:t>
      </w:r>
      <w:r w:rsidR="00D84D28">
        <w:rPr>
          <w:rStyle w:val="Emphasis"/>
          <w:rFonts w:ascii="Times New Roman" w:eastAsiaTheme="majorEastAsia" w:hAnsi="Times New Roman" w:cs="Times New Roman"/>
          <w:i w:val="0"/>
          <w:sz w:val="24"/>
        </w:rPr>
        <w:t xml:space="preserve"> mining compan</w:t>
      </w:r>
      <w:r w:rsidR="00B7163B">
        <w:rPr>
          <w:rStyle w:val="Emphasis"/>
          <w:rFonts w:ascii="Times New Roman" w:eastAsiaTheme="majorEastAsia" w:hAnsi="Times New Roman" w:cs="Times New Roman"/>
          <w:i w:val="0"/>
          <w:sz w:val="24"/>
        </w:rPr>
        <w:t>ies</w:t>
      </w:r>
      <w:r w:rsidR="00D84D28">
        <w:rPr>
          <w:rStyle w:val="Emphasis"/>
          <w:rFonts w:ascii="Times New Roman" w:eastAsiaTheme="majorEastAsia" w:hAnsi="Times New Roman" w:cs="Times New Roman"/>
          <w:i w:val="0"/>
          <w:sz w:val="24"/>
        </w:rPr>
        <w:t xml:space="preserve"> </w:t>
      </w:r>
      <w:r w:rsidR="00C458AC">
        <w:rPr>
          <w:rStyle w:val="Emphasis"/>
          <w:rFonts w:ascii="Times New Roman" w:eastAsiaTheme="majorEastAsia" w:hAnsi="Times New Roman" w:cs="Times New Roman"/>
          <w:i w:val="0"/>
          <w:sz w:val="24"/>
        </w:rPr>
        <w:t xml:space="preserve">at its Porgera Gold Mine in the highlands of Papua New Guinea. The purpose of this Position Paper and the Petition is to make known to these companies of the ATA’s position </w:t>
      </w:r>
      <w:r w:rsidR="00D84D28">
        <w:rPr>
          <w:rStyle w:val="Emphasis"/>
          <w:rFonts w:ascii="Times New Roman" w:eastAsiaTheme="majorEastAsia" w:hAnsi="Times New Roman" w:cs="Times New Roman"/>
          <w:i w:val="0"/>
          <w:sz w:val="24"/>
        </w:rPr>
        <w:t xml:space="preserve">prior to </w:t>
      </w:r>
      <w:r w:rsidR="002B57CA">
        <w:rPr>
          <w:rStyle w:val="Emphasis"/>
          <w:rFonts w:ascii="Times New Roman" w:eastAsiaTheme="majorEastAsia" w:hAnsi="Times New Roman" w:cs="Times New Roman"/>
          <w:i w:val="0"/>
          <w:sz w:val="24"/>
        </w:rPr>
        <w:t>review</w:t>
      </w:r>
      <w:r w:rsidR="00C458AC">
        <w:rPr>
          <w:rStyle w:val="Emphasis"/>
          <w:rFonts w:ascii="Times New Roman" w:eastAsiaTheme="majorEastAsia" w:hAnsi="Times New Roman" w:cs="Times New Roman"/>
          <w:i w:val="0"/>
          <w:sz w:val="24"/>
        </w:rPr>
        <w:t xml:space="preserve">ing </w:t>
      </w:r>
      <w:r w:rsidR="00D84D28">
        <w:rPr>
          <w:rStyle w:val="Emphasis"/>
          <w:rFonts w:ascii="Times New Roman" w:eastAsiaTheme="majorEastAsia" w:hAnsi="Times New Roman" w:cs="Times New Roman"/>
          <w:i w:val="0"/>
          <w:sz w:val="24"/>
        </w:rPr>
        <w:t>and renegotiati</w:t>
      </w:r>
      <w:r w:rsidR="002B57CA">
        <w:rPr>
          <w:rStyle w:val="Emphasis"/>
          <w:rFonts w:ascii="Times New Roman" w:eastAsiaTheme="majorEastAsia" w:hAnsi="Times New Roman" w:cs="Times New Roman"/>
          <w:i w:val="0"/>
          <w:sz w:val="24"/>
        </w:rPr>
        <w:t>n</w:t>
      </w:r>
      <w:r w:rsidR="00D84D28">
        <w:rPr>
          <w:rStyle w:val="Emphasis"/>
          <w:rFonts w:ascii="Times New Roman" w:eastAsiaTheme="majorEastAsia" w:hAnsi="Times New Roman" w:cs="Times New Roman"/>
          <w:i w:val="0"/>
          <w:sz w:val="24"/>
        </w:rPr>
        <w:t>g</w:t>
      </w:r>
      <w:r w:rsidR="002B57CA">
        <w:rPr>
          <w:rStyle w:val="Emphasis"/>
          <w:rFonts w:ascii="Times New Roman" w:eastAsiaTheme="majorEastAsia" w:hAnsi="Times New Roman" w:cs="Times New Roman"/>
          <w:i w:val="0"/>
          <w:sz w:val="24"/>
        </w:rPr>
        <w:t xml:space="preserve"> of the Porgera Gold Mine Project’s Min</w:t>
      </w:r>
      <w:r w:rsidR="002E2824">
        <w:rPr>
          <w:rStyle w:val="Emphasis"/>
          <w:rFonts w:ascii="Times New Roman" w:eastAsiaTheme="majorEastAsia" w:hAnsi="Times New Roman" w:cs="Times New Roman"/>
          <w:i w:val="0"/>
          <w:sz w:val="24"/>
        </w:rPr>
        <w:t>ing Development Contract</w:t>
      </w:r>
      <w:r w:rsidR="00565B5C">
        <w:rPr>
          <w:rStyle w:val="Emphasis"/>
          <w:rFonts w:ascii="Times New Roman" w:eastAsiaTheme="majorEastAsia" w:hAnsi="Times New Roman" w:cs="Times New Roman"/>
          <w:i w:val="0"/>
          <w:sz w:val="24"/>
        </w:rPr>
        <w:t xml:space="preserve"> (MDC)</w:t>
      </w:r>
      <w:r w:rsidR="00C458AC">
        <w:rPr>
          <w:rStyle w:val="Emphasis"/>
          <w:rFonts w:ascii="Times New Roman" w:eastAsiaTheme="majorEastAsia" w:hAnsi="Times New Roman" w:cs="Times New Roman"/>
          <w:i w:val="0"/>
          <w:sz w:val="24"/>
        </w:rPr>
        <w:t xml:space="preserve"> renewal</w:t>
      </w:r>
      <w:r w:rsidR="00B7163B">
        <w:rPr>
          <w:rStyle w:val="Emphasis"/>
          <w:rFonts w:ascii="Times New Roman" w:eastAsiaTheme="majorEastAsia" w:hAnsi="Times New Roman" w:cs="Times New Roman"/>
          <w:i w:val="0"/>
          <w:sz w:val="24"/>
        </w:rPr>
        <w:t xml:space="preserve"> come </w:t>
      </w:r>
      <w:r w:rsidR="00E45C30">
        <w:rPr>
          <w:rStyle w:val="Emphasis"/>
          <w:rFonts w:ascii="Times New Roman" w:eastAsiaTheme="majorEastAsia" w:hAnsi="Times New Roman" w:cs="Times New Roman"/>
          <w:i w:val="0"/>
          <w:sz w:val="24"/>
        </w:rPr>
        <w:t>August</w:t>
      </w:r>
      <w:r w:rsidR="00B7163B">
        <w:rPr>
          <w:rStyle w:val="Emphasis"/>
          <w:rFonts w:ascii="Times New Roman" w:eastAsiaTheme="majorEastAsia" w:hAnsi="Times New Roman" w:cs="Times New Roman"/>
          <w:i w:val="0"/>
          <w:sz w:val="24"/>
        </w:rPr>
        <w:t>, 2019</w:t>
      </w:r>
      <w:r w:rsidR="002B57CA">
        <w:rPr>
          <w:rStyle w:val="Emphasis"/>
          <w:rFonts w:ascii="Times New Roman" w:eastAsiaTheme="majorEastAsia" w:hAnsi="Times New Roman" w:cs="Times New Roman"/>
          <w:i w:val="0"/>
          <w:sz w:val="24"/>
        </w:rPr>
        <w:t>.</w:t>
      </w:r>
      <w:r w:rsidR="00B7163B">
        <w:rPr>
          <w:rStyle w:val="Emphasis"/>
          <w:rFonts w:ascii="Times New Roman" w:eastAsiaTheme="majorEastAsia" w:hAnsi="Times New Roman" w:cs="Times New Roman"/>
          <w:i w:val="0"/>
          <w:sz w:val="24"/>
        </w:rPr>
        <w:t xml:space="preserve"> Supplementarily, </w:t>
      </w:r>
      <w:r w:rsidR="002B57CA">
        <w:rPr>
          <w:rStyle w:val="Emphasis"/>
          <w:rFonts w:ascii="Times New Roman" w:eastAsiaTheme="majorEastAsia" w:hAnsi="Times New Roman" w:cs="Times New Roman"/>
          <w:i w:val="0"/>
          <w:sz w:val="24"/>
        </w:rPr>
        <w:t xml:space="preserve"> </w:t>
      </w:r>
      <w:r w:rsidR="00B7163B">
        <w:rPr>
          <w:rStyle w:val="Emphasis"/>
          <w:rFonts w:ascii="Times New Roman" w:eastAsiaTheme="majorEastAsia" w:hAnsi="Times New Roman" w:cs="Times New Roman"/>
          <w:i w:val="0"/>
          <w:sz w:val="24"/>
        </w:rPr>
        <w:t xml:space="preserve">these Position Paper and the Petition were drafted purposely to receive </w:t>
      </w:r>
      <w:r w:rsidR="00E45C30">
        <w:rPr>
          <w:rStyle w:val="Emphasis"/>
          <w:rFonts w:ascii="Times New Roman" w:eastAsiaTheme="majorEastAsia" w:hAnsi="Times New Roman" w:cs="Times New Roman"/>
          <w:i w:val="0"/>
          <w:sz w:val="24"/>
        </w:rPr>
        <w:t>response</w:t>
      </w:r>
      <w:r w:rsidR="00B7163B">
        <w:rPr>
          <w:rStyle w:val="Emphasis"/>
          <w:rFonts w:ascii="Times New Roman" w:eastAsiaTheme="majorEastAsia" w:hAnsi="Times New Roman" w:cs="Times New Roman"/>
          <w:i w:val="0"/>
          <w:sz w:val="24"/>
        </w:rPr>
        <w:t xml:space="preserve"> from these two companies as to </w:t>
      </w:r>
      <w:r w:rsidR="00E45C30">
        <w:rPr>
          <w:rStyle w:val="Emphasis"/>
          <w:rFonts w:ascii="Times New Roman" w:eastAsiaTheme="majorEastAsia" w:hAnsi="Times New Roman" w:cs="Times New Roman"/>
          <w:i w:val="0"/>
          <w:sz w:val="24"/>
        </w:rPr>
        <w:t xml:space="preserve">know </w:t>
      </w:r>
      <w:r w:rsidR="00B7163B">
        <w:rPr>
          <w:rStyle w:val="Emphasis"/>
          <w:rFonts w:ascii="Times New Roman" w:eastAsiaTheme="majorEastAsia" w:hAnsi="Times New Roman" w:cs="Times New Roman"/>
          <w:i w:val="0"/>
          <w:sz w:val="24"/>
        </w:rPr>
        <w:t>whether</w:t>
      </w:r>
      <w:r w:rsidR="00BF652A">
        <w:rPr>
          <w:rStyle w:val="Emphasis"/>
          <w:rFonts w:ascii="Times New Roman" w:eastAsiaTheme="majorEastAsia" w:hAnsi="Times New Roman" w:cs="Times New Roman"/>
          <w:i w:val="0"/>
          <w:sz w:val="24"/>
        </w:rPr>
        <w:t xml:space="preserve"> </w:t>
      </w:r>
      <w:r w:rsidR="00B7163B">
        <w:rPr>
          <w:rStyle w:val="Emphasis"/>
          <w:rFonts w:ascii="Times New Roman" w:eastAsiaTheme="majorEastAsia" w:hAnsi="Times New Roman" w:cs="Times New Roman"/>
          <w:i w:val="0"/>
          <w:sz w:val="24"/>
        </w:rPr>
        <w:t xml:space="preserve">or not these companies will process, assess and evaluate the allegations lodged within their operational grievance mechanism (OGM) at the Porgera Joint Venture (PJV) Mine Site by the ATA and when.  </w:t>
      </w:r>
    </w:p>
    <w:p w:rsidR="002B57CA" w:rsidRDefault="002E1489" w:rsidP="005D6440">
      <w:pPr>
        <w:jc w:val="both"/>
        <w:rPr>
          <w:rStyle w:val="Emphasis"/>
          <w:rFonts w:ascii="Times New Roman" w:eastAsiaTheme="majorEastAsia" w:hAnsi="Times New Roman" w:cs="Times New Roman"/>
          <w:i w:val="0"/>
          <w:sz w:val="24"/>
        </w:rPr>
      </w:pPr>
      <w:r>
        <w:rPr>
          <w:rStyle w:val="Emphasis"/>
          <w:rFonts w:ascii="Times New Roman" w:eastAsiaTheme="majorEastAsia" w:hAnsi="Times New Roman" w:cs="Times New Roman"/>
          <w:i w:val="0"/>
          <w:sz w:val="24"/>
        </w:rPr>
        <w:t xml:space="preserve">Further, </w:t>
      </w:r>
      <w:r w:rsidR="002B57CA">
        <w:rPr>
          <w:rStyle w:val="Emphasis"/>
          <w:rFonts w:ascii="Times New Roman" w:eastAsiaTheme="majorEastAsia" w:hAnsi="Times New Roman" w:cs="Times New Roman"/>
          <w:i w:val="0"/>
          <w:sz w:val="24"/>
        </w:rPr>
        <w:t>brief background</w:t>
      </w:r>
      <w:r w:rsidR="00AD6335">
        <w:rPr>
          <w:rStyle w:val="Emphasis"/>
          <w:rFonts w:ascii="Times New Roman" w:eastAsiaTheme="majorEastAsia" w:hAnsi="Times New Roman" w:cs="Times New Roman"/>
          <w:i w:val="0"/>
          <w:sz w:val="24"/>
        </w:rPr>
        <w:t xml:space="preserve"> </w:t>
      </w:r>
      <w:r>
        <w:rPr>
          <w:rStyle w:val="Emphasis"/>
          <w:rFonts w:ascii="Times New Roman" w:eastAsiaTheme="majorEastAsia" w:hAnsi="Times New Roman" w:cs="Times New Roman"/>
          <w:i w:val="0"/>
          <w:sz w:val="24"/>
        </w:rPr>
        <w:t xml:space="preserve">was drafted </w:t>
      </w:r>
      <w:r w:rsidR="00E45C30">
        <w:rPr>
          <w:rStyle w:val="Emphasis"/>
          <w:rFonts w:ascii="Times New Roman" w:eastAsiaTheme="majorEastAsia" w:hAnsi="Times New Roman" w:cs="Times New Roman"/>
          <w:i w:val="0"/>
          <w:sz w:val="24"/>
        </w:rPr>
        <w:t xml:space="preserve">in this position paper </w:t>
      </w:r>
      <w:r>
        <w:rPr>
          <w:rStyle w:val="Emphasis"/>
          <w:rFonts w:ascii="Times New Roman" w:eastAsiaTheme="majorEastAsia" w:hAnsi="Times New Roman" w:cs="Times New Roman"/>
          <w:i w:val="0"/>
          <w:sz w:val="24"/>
        </w:rPr>
        <w:t xml:space="preserve">to </w:t>
      </w:r>
      <w:r w:rsidR="002B57CA">
        <w:rPr>
          <w:rStyle w:val="Emphasis"/>
          <w:rFonts w:ascii="Times New Roman" w:eastAsiaTheme="majorEastAsia" w:hAnsi="Times New Roman" w:cs="Times New Roman"/>
          <w:i w:val="0"/>
          <w:sz w:val="24"/>
        </w:rPr>
        <w:t xml:space="preserve">explain </w:t>
      </w:r>
      <w:r>
        <w:rPr>
          <w:rStyle w:val="Emphasis"/>
          <w:rFonts w:ascii="Times New Roman" w:eastAsiaTheme="majorEastAsia" w:hAnsi="Times New Roman" w:cs="Times New Roman"/>
          <w:i w:val="0"/>
          <w:sz w:val="24"/>
        </w:rPr>
        <w:t>to the</w:t>
      </w:r>
      <w:r w:rsidR="00CE581E">
        <w:rPr>
          <w:rStyle w:val="Emphasis"/>
          <w:rFonts w:ascii="Times New Roman" w:eastAsiaTheme="majorEastAsia" w:hAnsi="Times New Roman" w:cs="Times New Roman"/>
          <w:i w:val="0"/>
          <w:sz w:val="24"/>
        </w:rPr>
        <w:t xml:space="preserve"> interested stakeholders of Porgera human rights abuse </w:t>
      </w:r>
      <w:r>
        <w:rPr>
          <w:rStyle w:val="Emphasis"/>
          <w:rFonts w:ascii="Times New Roman" w:eastAsiaTheme="majorEastAsia" w:hAnsi="Times New Roman" w:cs="Times New Roman"/>
          <w:i w:val="0"/>
          <w:sz w:val="24"/>
        </w:rPr>
        <w:t>issue</w:t>
      </w:r>
      <w:r w:rsidR="00CE581E">
        <w:rPr>
          <w:rStyle w:val="Emphasis"/>
          <w:rFonts w:ascii="Times New Roman" w:eastAsiaTheme="majorEastAsia" w:hAnsi="Times New Roman" w:cs="Times New Roman"/>
          <w:i w:val="0"/>
          <w:sz w:val="24"/>
        </w:rPr>
        <w:t>s</w:t>
      </w:r>
      <w:r>
        <w:rPr>
          <w:rStyle w:val="Emphasis"/>
          <w:rFonts w:ascii="Times New Roman" w:eastAsiaTheme="majorEastAsia" w:hAnsi="Times New Roman" w:cs="Times New Roman"/>
          <w:i w:val="0"/>
          <w:sz w:val="24"/>
        </w:rPr>
        <w:t xml:space="preserve"> to know and understand </w:t>
      </w:r>
      <w:r w:rsidR="002B57CA">
        <w:rPr>
          <w:rStyle w:val="Emphasis"/>
          <w:rFonts w:ascii="Times New Roman" w:eastAsiaTheme="majorEastAsia" w:hAnsi="Times New Roman" w:cs="Times New Roman"/>
          <w:i w:val="0"/>
          <w:sz w:val="24"/>
        </w:rPr>
        <w:t>the locality of the mine</w:t>
      </w:r>
      <w:r w:rsidR="00AD6335">
        <w:rPr>
          <w:rStyle w:val="Emphasis"/>
          <w:rFonts w:ascii="Times New Roman" w:eastAsiaTheme="majorEastAsia" w:hAnsi="Times New Roman" w:cs="Times New Roman"/>
          <w:i w:val="0"/>
          <w:sz w:val="24"/>
        </w:rPr>
        <w:t>,</w:t>
      </w:r>
      <w:r w:rsidR="002B57CA">
        <w:rPr>
          <w:rStyle w:val="Emphasis"/>
          <w:rFonts w:ascii="Times New Roman" w:eastAsiaTheme="majorEastAsia" w:hAnsi="Times New Roman" w:cs="Times New Roman"/>
          <w:i w:val="0"/>
          <w:sz w:val="24"/>
        </w:rPr>
        <w:t xml:space="preserve"> its ownership </w:t>
      </w:r>
      <w:r w:rsidR="00AD6335">
        <w:rPr>
          <w:rStyle w:val="Emphasis"/>
          <w:rFonts w:ascii="Times New Roman" w:eastAsiaTheme="majorEastAsia" w:hAnsi="Times New Roman" w:cs="Times New Roman"/>
          <w:i w:val="0"/>
          <w:sz w:val="24"/>
        </w:rPr>
        <w:t>and</w:t>
      </w:r>
      <w:r w:rsidR="002B57CA">
        <w:rPr>
          <w:rStyle w:val="Emphasis"/>
          <w:rFonts w:ascii="Times New Roman" w:eastAsiaTheme="majorEastAsia" w:hAnsi="Times New Roman" w:cs="Times New Roman"/>
          <w:i w:val="0"/>
          <w:sz w:val="24"/>
        </w:rPr>
        <w:t xml:space="preserve"> </w:t>
      </w:r>
      <w:r w:rsidR="00D84D28">
        <w:rPr>
          <w:rStyle w:val="Emphasis"/>
          <w:rFonts w:ascii="Times New Roman" w:eastAsiaTheme="majorEastAsia" w:hAnsi="Times New Roman" w:cs="Times New Roman"/>
          <w:i w:val="0"/>
          <w:sz w:val="24"/>
        </w:rPr>
        <w:t>the company’s production per</w:t>
      </w:r>
      <w:r w:rsidR="002B57CA">
        <w:rPr>
          <w:rStyle w:val="Emphasis"/>
          <w:rFonts w:ascii="Times New Roman" w:eastAsiaTheme="majorEastAsia" w:hAnsi="Times New Roman" w:cs="Times New Roman"/>
          <w:i w:val="0"/>
          <w:sz w:val="24"/>
        </w:rPr>
        <w:t xml:space="preserve"> year </w:t>
      </w:r>
      <w:r w:rsidR="00AD6335">
        <w:rPr>
          <w:rStyle w:val="Emphasis"/>
          <w:rFonts w:ascii="Times New Roman" w:eastAsiaTheme="majorEastAsia" w:hAnsi="Times New Roman" w:cs="Times New Roman"/>
          <w:i w:val="0"/>
          <w:sz w:val="24"/>
        </w:rPr>
        <w:t xml:space="preserve">as well as </w:t>
      </w:r>
      <w:r w:rsidR="002B57CA">
        <w:rPr>
          <w:rStyle w:val="Emphasis"/>
          <w:rFonts w:ascii="Times New Roman" w:eastAsiaTheme="majorEastAsia" w:hAnsi="Times New Roman" w:cs="Times New Roman"/>
          <w:i w:val="0"/>
          <w:sz w:val="24"/>
        </w:rPr>
        <w:t>the mine life expectancy. Further, it also describes the background history of the Porgera Gold Mine Project Operators</w:t>
      </w:r>
      <w:r w:rsidR="00AD6335">
        <w:rPr>
          <w:rStyle w:val="Emphasis"/>
          <w:rFonts w:ascii="Times New Roman" w:eastAsiaTheme="majorEastAsia" w:hAnsi="Times New Roman" w:cs="Times New Roman"/>
          <w:i w:val="0"/>
          <w:sz w:val="24"/>
        </w:rPr>
        <w:t>’</w:t>
      </w:r>
      <w:r w:rsidR="002B57CA">
        <w:rPr>
          <w:rStyle w:val="Emphasis"/>
          <w:rFonts w:ascii="Times New Roman" w:eastAsiaTheme="majorEastAsia" w:hAnsi="Times New Roman" w:cs="Times New Roman"/>
          <w:i w:val="0"/>
          <w:sz w:val="24"/>
        </w:rPr>
        <w:t xml:space="preserve"> depressing human rights violations that ha</w:t>
      </w:r>
      <w:r w:rsidR="00AD6335">
        <w:rPr>
          <w:rStyle w:val="Emphasis"/>
          <w:rFonts w:ascii="Times New Roman" w:eastAsiaTheme="majorEastAsia" w:hAnsi="Times New Roman" w:cs="Times New Roman"/>
          <w:i w:val="0"/>
          <w:sz w:val="24"/>
        </w:rPr>
        <w:t>ve been caused</w:t>
      </w:r>
      <w:r w:rsidR="002E2824">
        <w:rPr>
          <w:rStyle w:val="Emphasis"/>
          <w:rFonts w:ascii="Times New Roman" w:eastAsiaTheme="majorEastAsia" w:hAnsi="Times New Roman" w:cs="Times New Roman"/>
          <w:i w:val="0"/>
          <w:sz w:val="24"/>
        </w:rPr>
        <w:t xml:space="preserve"> and or created</w:t>
      </w:r>
      <w:r w:rsidR="00AD6335">
        <w:rPr>
          <w:rStyle w:val="Emphasis"/>
          <w:rFonts w:ascii="Times New Roman" w:eastAsiaTheme="majorEastAsia" w:hAnsi="Times New Roman" w:cs="Times New Roman"/>
          <w:i w:val="0"/>
          <w:sz w:val="24"/>
        </w:rPr>
        <w:t xml:space="preserve"> overtime since the inception of the gold mine project</w:t>
      </w:r>
      <w:r w:rsidR="00CE581E">
        <w:rPr>
          <w:rStyle w:val="Emphasis"/>
          <w:rFonts w:ascii="Times New Roman" w:eastAsiaTheme="majorEastAsia" w:hAnsi="Times New Roman" w:cs="Times New Roman"/>
          <w:i w:val="0"/>
          <w:sz w:val="24"/>
        </w:rPr>
        <w:t>.</w:t>
      </w:r>
      <w:r w:rsidR="00AD6335">
        <w:rPr>
          <w:rStyle w:val="Emphasis"/>
          <w:rFonts w:ascii="Times New Roman" w:eastAsiaTheme="majorEastAsia" w:hAnsi="Times New Roman" w:cs="Times New Roman"/>
          <w:i w:val="0"/>
          <w:sz w:val="24"/>
        </w:rPr>
        <w:t xml:space="preserve"> </w:t>
      </w:r>
    </w:p>
    <w:p w:rsidR="00D84D28" w:rsidRDefault="00637222" w:rsidP="005D6440">
      <w:pPr>
        <w:jc w:val="both"/>
        <w:rPr>
          <w:rStyle w:val="Emphasis"/>
          <w:rFonts w:ascii="Times New Roman" w:eastAsiaTheme="majorEastAsia" w:hAnsi="Times New Roman" w:cs="Times New Roman"/>
          <w:i w:val="0"/>
          <w:sz w:val="24"/>
        </w:rPr>
      </w:pPr>
      <w:r>
        <w:rPr>
          <w:rStyle w:val="Emphasis"/>
          <w:rFonts w:ascii="Times New Roman" w:eastAsiaTheme="majorEastAsia" w:hAnsi="Times New Roman" w:cs="Times New Roman"/>
          <w:i w:val="0"/>
          <w:sz w:val="24"/>
        </w:rPr>
        <w:t>Moreover, in the third chapter</w:t>
      </w:r>
      <w:r w:rsidR="00E45C30">
        <w:rPr>
          <w:rStyle w:val="Emphasis"/>
          <w:rFonts w:ascii="Times New Roman" w:eastAsiaTheme="majorEastAsia" w:hAnsi="Times New Roman" w:cs="Times New Roman"/>
          <w:i w:val="0"/>
          <w:sz w:val="24"/>
        </w:rPr>
        <w:t xml:space="preserve"> of this paper, ATA intends to</w:t>
      </w:r>
      <w:r w:rsidR="006D2CDE">
        <w:rPr>
          <w:rStyle w:val="Emphasis"/>
          <w:rFonts w:ascii="Times New Roman" w:eastAsiaTheme="majorEastAsia" w:hAnsi="Times New Roman" w:cs="Times New Roman"/>
          <w:i w:val="0"/>
          <w:sz w:val="24"/>
        </w:rPr>
        <w:t xml:space="preserve"> </w:t>
      </w:r>
      <w:r>
        <w:rPr>
          <w:rStyle w:val="Emphasis"/>
          <w:rFonts w:ascii="Times New Roman" w:eastAsiaTheme="majorEastAsia" w:hAnsi="Times New Roman" w:cs="Times New Roman"/>
          <w:i w:val="0"/>
          <w:sz w:val="24"/>
        </w:rPr>
        <w:t xml:space="preserve">explain </w:t>
      </w:r>
      <w:r w:rsidR="006D2CDE">
        <w:rPr>
          <w:rStyle w:val="Emphasis"/>
          <w:rFonts w:ascii="Times New Roman" w:eastAsiaTheme="majorEastAsia" w:hAnsi="Times New Roman" w:cs="Times New Roman"/>
          <w:i w:val="0"/>
          <w:sz w:val="24"/>
        </w:rPr>
        <w:t>in-</w:t>
      </w:r>
      <w:r>
        <w:rPr>
          <w:rStyle w:val="Emphasis"/>
          <w:rFonts w:ascii="Times New Roman" w:eastAsiaTheme="majorEastAsia" w:hAnsi="Times New Roman" w:cs="Times New Roman"/>
          <w:i w:val="0"/>
          <w:sz w:val="24"/>
        </w:rPr>
        <w:t xml:space="preserve">brief both the local and international avenues exhausted in search for remedies and justice by the ATA for the local indigenous victims </w:t>
      </w:r>
      <w:r w:rsidR="00D84D28">
        <w:rPr>
          <w:rStyle w:val="Emphasis"/>
          <w:rFonts w:ascii="Times New Roman" w:eastAsiaTheme="majorEastAsia" w:hAnsi="Times New Roman" w:cs="Times New Roman"/>
          <w:i w:val="0"/>
          <w:sz w:val="24"/>
        </w:rPr>
        <w:t>from</w:t>
      </w:r>
      <w:r>
        <w:rPr>
          <w:rStyle w:val="Emphasis"/>
          <w:rFonts w:ascii="Times New Roman" w:eastAsiaTheme="majorEastAsia" w:hAnsi="Times New Roman" w:cs="Times New Roman"/>
          <w:i w:val="0"/>
          <w:sz w:val="24"/>
        </w:rPr>
        <w:t xml:space="preserve"> the backwaters of Porgera</w:t>
      </w:r>
      <w:r w:rsidR="00D84D28">
        <w:rPr>
          <w:rStyle w:val="Emphasis"/>
          <w:rFonts w:ascii="Times New Roman" w:eastAsiaTheme="majorEastAsia" w:hAnsi="Times New Roman" w:cs="Times New Roman"/>
          <w:i w:val="0"/>
          <w:sz w:val="24"/>
        </w:rPr>
        <w:t>.</w:t>
      </w:r>
      <w:r>
        <w:rPr>
          <w:rStyle w:val="Emphasis"/>
          <w:rFonts w:ascii="Times New Roman" w:eastAsiaTheme="majorEastAsia" w:hAnsi="Times New Roman" w:cs="Times New Roman"/>
          <w:i w:val="0"/>
          <w:sz w:val="24"/>
        </w:rPr>
        <w:t xml:space="preserve"> </w:t>
      </w:r>
      <w:r w:rsidR="002E2824">
        <w:rPr>
          <w:rStyle w:val="Emphasis"/>
          <w:rFonts w:ascii="Times New Roman" w:eastAsiaTheme="majorEastAsia" w:hAnsi="Times New Roman" w:cs="Times New Roman"/>
          <w:i w:val="0"/>
          <w:sz w:val="24"/>
        </w:rPr>
        <w:t>It</w:t>
      </w:r>
      <w:r>
        <w:rPr>
          <w:rStyle w:val="Emphasis"/>
          <w:rFonts w:ascii="Times New Roman" w:eastAsiaTheme="majorEastAsia" w:hAnsi="Times New Roman" w:cs="Times New Roman"/>
          <w:i w:val="0"/>
          <w:sz w:val="24"/>
        </w:rPr>
        <w:t xml:space="preserve"> covers ranges of avenues </w:t>
      </w:r>
      <w:r w:rsidR="006D2CDE">
        <w:rPr>
          <w:rStyle w:val="Emphasis"/>
          <w:rFonts w:ascii="Times New Roman" w:eastAsiaTheme="majorEastAsia" w:hAnsi="Times New Roman" w:cs="Times New Roman"/>
          <w:i w:val="0"/>
          <w:sz w:val="24"/>
        </w:rPr>
        <w:t xml:space="preserve">exhausted </w:t>
      </w:r>
      <w:r w:rsidR="00D84D28">
        <w:rPr>
          <w:rStyle w:val="Emphasis"/>
          <w:rFonts w:ascii="Times New Roman" w:eastAsiaTheme="majorEastAsia" w:hAnsi="Times New Roman" w:cs="Times New Roman"/>
          <w:i w:val="0"/>
          <w:sz w:val="24"/>
        </w:rPr>
        <w:t>including:</w:t>
      </w:r>
    </w:p>
    <w:p w:rsidR="00D84D28" w:rsidRDefault="00D84D28" w:rsidP="00D84D28">
      <w:pPr>
        <w:pStyle w:val="ListParagraph"/>
        <w:numPr>
          <w:ilvl w:val="0"/>
          <w:numId w:val="4"/>
        </w:numPr>
        <w:jc w:val="both"/>
        <w:rPr>
          <w:rStyle w:val="Emphasis"/>
          <w:rFonts w:ascii="Times New Roman" w:eastAsiaTheme="majorEastAsia" w:hAnsi="Times New Roman" w:cs="Times New Roman"/>
          <w:i w:val="0"/>
          <w:sz w:val="24"/>
        </w:rPr>
      </w:pPr>
      <w:r w:rsidRPr="00D84D28">
        <w:rPr>
          <w:rStyle w:val="Emphasis"/>
          <w:rFonts w:ascii="Times New Roman" w:eastAsiaTheme="majorEastAsia" w:hAnsi="Times New Roman" w:cs="Times New Roman"/>
          <w:i w:val="0"/>
          <w:sz w:val="24"/>
        </w:rPr>
        <w:t>Company</w:t>
      </w:r>
      <w:r w:rsidR="006D2CDE" w:rsidRPr="00D84D28">
        <w:rPr>
          <w:rStyle w:val="Emphasis"/>
          <w:rFonts w:ascii="Times New Roman" w:eastAsiaTheme="majorEastAsia" w:hAnsi="Times New Roman" w:cs="Times New Roman"/>
          <w:i w:val="0"/>
          <w:sz w:val="24"/>
        </w:rPr>
        <w:t xml:space="preserve"> created non-judicial remedy mechanism</w:t>
      </w:r>
      <w:r w:rsidR="00E45C30">
        <w:rPr>
          <w:rStyle w:val="Emphasis"/>
          <w:rFonts w:ascii="Times New Roman" w:eastAsiaTheme="majorEastAsia" w:hAnsi="Times New Roman" w:cs="Times New Roman"/>
          <w:i w:val="0"/>
          <w:sz w:val="24"/>
        </w:rPr>
        <w:t>: a remedy mechanism that was created solely by the company</w:t>
      </w:r>
      <w:r w:rsidR="006D2CDE" w:rsidRPr="00D84D28">
        <w:rPr>
          <w:rStyle w:val="Emphasis"/>
          <w:rFonts w:ascii="Times New Roman" w:eastAsiaTheme="majorEastAsia" w:hAnsi="Times New Roman" w:cs="Times New Roman"/>
          <w:i w:val="0"/>
          <w:sz w:val="24"/>
        </w:rPr>
        <w:t xml:space="preserve"> pursuant to UN Guiding Principles on Business and Human Rights, Right to Remedies and others. </w:t>
      </w:r>
    </w:p>
    <w:p w:rsidR="00D84D28" w:rsidRDefault="002E2824" w:rsidP="00D84D28">
      <w:pPr>
        <w:pStyle w:val="ListParagraph"/>
        <w:numPr>
          <w:ilvl w:val="0"/>
          <w:numId w:val="4"/>
        </w:numPr>
        <w:jc w:val="both"/>
        <w:rPr>
          <w:rStyle w:val="Emphasis"/>
          <w:rFonts w:ascii="Times New Roman" w:eastAsiaTheme="majorEastAsia" w:hAnsi="Times New Roman" w:cs="Times New Roman"/>
          <w:i w:val="0"/>
          <w:sz w:val="24"/>
        </w:rPr>
      </w:pPr>
      <w:r w:rsidRPr="00D84D28">
        <w:rPr>
          <w:rStyle w:val="Emphasis"/>
          <w:rFonts w:ascii="Times New Roman" w:eastAsiaTheme="majorEastAsia" w:hAnsi="Times New Roman" w:cs="Times New Roman"/>
          <w:i w:val="0"/>
          <w:sz w:val="24"/>
        </w:rPr>
        <w:t xml:space="preserve"> </w:t>
      </w:r>
      <w:r w:rsidR="00D84D28" w:rsidRPr="00D84D28">
        <w:rPr>
          <w:rStyle w:val="Emphasis"/>
          <w:rFonts w:ascii="Times New Roman" w:eastAsiaTheme="majorEastAsia" w:hAnsi="Times New Roman" w:cs="Times New Roman"/>
          <w:i w:val="0"/>
          <w:sz w:val="24"/>
        </w:rPr>
        <w:t>L</w:t>
      </w:r>
      <w:r w:rsidRPr="00D84D28">
        <w:rPr>
          <w:rStyle w:val="Emphasis"/>
          <w:rFonts w:ascii="Times New Roman" w:eastAsiaTheme="majorEastAsia" w:hAnsi="Times New Roman" w:cs="Times New Roman"/>
          <w:i w:val="0"/>
          <w:sz w:val="24"/>
        </w:rPr>
        <w:t>odg</w:t>
      </w:r>
      <w:r w:rsidR="00D84D28">
        <w:rPr>
          <w:rStyle w:val="Emphasis"/>
          <w:rFonts w:ascii="Times New Roman" w:eastAsiaTheme="majorEastAsia" w:hAnsi="Times New Roman" w:cs="Times New Roman"/>
          <w:i w:val="0"/>
          <w:sz w:val="24"/>
        </w:rPr>
        <w:t>ing of</w:t>
      </w:r>
      <w:r w:rsidRPr="00D84D28">
        <w:rPr>
          <w:rStyle w:val="Emphasis"/>
          <w:rFonts w:ascii="Times New Roman" w:eastAsiaTheme="majorEastAsia" w:hAnsi="Times New Roman" w:cs="Times New Roman"/>
          <w:i w:val="0"/>
          <w:sz w:val="24"/>
        </w:rPr>
        <w:t xml:space="preserve"> claims </w:t>
      </w:r>
      <w:r w:rsidR="00FE2DE6" w:rsidRPr="00D84D28">
        <w:rPr>
          <w:rStyle w:val="Emphasis"/>
          <w:rFonts w:ascii="Times New Roman" w:eastAsiaTheme="majorEastAsia" w:hAnsi="Times New Roman" w:cs="Times New Roman"/>
          <w:i w:val="0"/>
          <w:sz w:val="24"/>
        </w:rPr>
        <w:t xml:space="preserve">with </w:t>
      </w:r>
      <w:r w:rsidR="006D2CDE" w:rsidRPr="00D84D28">
        <w:rPr>
          <w:rStyle w:val="Emphasis"/>
          <w:rFonts w:ascii="Times New Roman" w:eastAsiaTheme="majorEastAsia" w:hAnsi="Times New Roman" w:cs="Times New Roman"/>
          <w:i w:val="0"/>
          <w:sz w:val="24"/>
        </w:rPr>
        <w:t xml:space="preserve">the </w:t>
      </w:r>
      <w:r w:rsidR="00637222" w:rsidRPr="00D84D28">
        <w:rPr>
          <w:rStyle w:val="Emphasis"/>
          <w:rFonts w:ascii="Times New Roman" w:eastAsiaTheme="majorEastAsia" w:hAnsi="Times New Roman" w:cs="Times New Roman"/>
          <w:i w:val="0"/>
          <w:sz w:val="24"/>
        </w:rPr>
        <w:t>PNG National Government</w:t>
      </w:r>
      <w:r w:rsidR="00E45C30">
        <w:rPr>
          <w:rStyle w:val="Emphasis"/>
          <w:rFonts w:ascii="Times New Roman" w:eastAsiaTheme="majorEastAsia" w:hAnsi="Times New Roman" w:cs="Times New Roman"/>
          <w:i w:val="0"/>
          <w:sz w:val="24"/>
        </w:rPr>
        <w:t xml:space="preserve">: </w:t>
      </w:r>
      <w:r w:rsidR="006D2CDE" w:rsidRPr="00D84D28">
        <w:rPr>
          <w:rStyle w:val="Emphasis"/>
          <w:rFonts w:ascii="Times New Roman" w:eastAsiaTheme="majorEastAsia" w:hAnsi="Times New Roman" w:cs="Times New Roman"/>
          <w:i w:val="0"/>
          <w:sz w:val="24"/>
        </w:rPr>
        <w:t>as</w:t>
      </w:r>
      <w:r w:rsidR="00637222" w:rsidRPr="00D84D28">
        <w:rPr>
          <w:rStyle w:val="Emphasis"/>
          <w:rFonts w:ascii="Times New Roman" w:eastAsiaTheme="majorEastAsia" w:hAnsi="Times New Roman" w:cs="Times New Roman"/>
          <w:i w:val="0"/>
          <w:sz w:val="24"/>
        </w:rPr>
        <w:t xml:space="preserve"> </w:t>
      </w:r>
      <w:r w:rsidR="00E45C30">
        <w:rPr>
          <w:rStyle w:val="Emphasis"/>
          <w:rFonts w:ascii="Times New Roman" w:eastAsiaTheme="majorEastAsia" w:hAnsi="Times New Roman" w:cs="Times New Roman"/>
          <w:i w:val="0"/>
          <w:sz w:val="24"/>
        </w:rPr>
        <w:t xml:space="preserve">PNG </w:t>
      </w:r>
      <w:r w:rsidR="00637222" w:rsidRPr="00D84D28">
        <w:rPr>
          <w:rStyle w:val="Emphasis"/>
          <w:rFonts w:ascii="Times New Roman" w:eastAsiaTheme="majorEastAsia" w:hAnsi="Times New Roman" w:cs="Times New Roman"/>
          <w:i w:val="0"/>
          <w:sz w:val="24"/>
        </w:rPr>
        <w:t>being an adhering and member state to the UN Charter</w:t>
      </w:r>
      <w:r w:rsidR="00E45C30">
        <w:rPr>
          <w:rStyle w:val="Emphasis"/>
          <w:rFonts w:ascii="Times New Roman" w:eastAsiaTheme="majorEastAsia" w:hAnsi="Times New Roman" w:cs="Times New Roman"/>
          <w:i w:val="0"/>
          <w:sz w:val="24"/>
        </w:rPr>
        <w:t>.</w:t>
      </w:r>
      <w:r w:rsidR="00637222" w:rsidRPr="00D84D28">
        <w:rPr>
          <w:rStyle w:val="Emphasis"/>
          <w:rFonts w:ascii="Times New Roman" w:eastAsiaTheme="majorEastAsia" w:hAnsi="Times New Roman" w:cs="Times New Roman"/>
          <w:i w:val="0"/>
          <w:sz w:val="24"/>
        </w:rPr>
        <w:t xml:space="preserve"> </w:t>
      </w:r>
    </w:p>
    <w:p w:rsidR="00D84D28" w:rsidRDefault="00D84D28" w:rsidP="00D84D28">
      <w:pPr>
        <w:pStyle w:val="ListParagraph"/>
        <w:numPr>
          <w:ilvl w:val="0"/>
          <w:numId w:val="4"/>
        </w:numPr>
        <w:jc w:val="both"/>
        <w:rPr>
          <w:rStyle w:val="Emphasis"/>
          <w:rFonts w:ascii="Times New Roman" w:eastAsiaTheme="majorEastAsia" w:hAnsi="Times New Roman" w:cs="Times New Roman"/>
          <w:i w:val="0"/>
          <w:sz w:val="24"/>
        </w:rPr>
      </w:pPr>
      <w:r>
        <w:rPr>
          <w:rStyle w:val="Emphasis"/>
          <w:rFonts w:ascii="Times New Roman" w:eastAsiaTheme="majorEastAsia" w:hAnsi="Times New Roman" w:cs="Times New Roman"/>
          <w:i w:val="0"/>
          <w:sz w:val="24"/>
        </w:rPr>
        <w:t xml:space="preserve">Lodging of claims with </w:t>
      </w:r>
      <w:r w:rsidR="00637222" w:rsidRPr="00D84D28">
        <w:rPr>
          <w:rStyle w:val="Emphasis"/>
          <w:rFonts w:ascii="Times New Roman" w:eastAsiaTheme="majorEastAsia" w:hAnsi="Times New Roman" w:cs="Times New Roman"/>
          <w:i w:val="0"/>
          <w:sz w:val="24"/>
        </w:rPr>
        <w:t xml:space="preserve">the Canadian National Contact Point (NCP) pursuant to the Organizations for Economic Co-operation and Development (OECD) Guidelines for Multinational Enterprises, </w:t>
      </w:r>
    </w:p>
    <w:p w:rsidR="00D84D28" w:rsidRDefault="00D84D28" w:rsidP="00D84D28">
      <w:pPr>
        <w:pStyle w:val="ListParagraph"/>
        <w:numPr>
          <w:ilvl w:val="0"/>
          <w:numId w:val="4"/>
        </w:numPr>
        <w:jc w:val="both"/>
        <w:rPr>
          <w:rStyle w:val="Emphasis"/>
          <w:rFonts w:ascii="Times New Roman" w:eastAsiaTheme="majorEastAsia" w:hAnsi="Times New Roman" w:cs="Times New Roman"/>
          <w:i w:val="0"/>
          <w:sz w:val="24"/>
        </w:rPr>
      </w:pPr>
      <w:r>
        <w:rPr>
          <w:rStyle w:val="Emphasis"/>
          <w:rFonts w:ascii="Times New Roman" w:eastAsiaTheme="majorEastAsia" w:hAnsi="Times New Roman" w:cs="Times New Roman"/>
          <w:i w:val="0"/>
          <w:sz w:val="24"/>
        </w:rPr>
        <w:t>A</w:t>
      </w:r>
      <w:r w:rsidR="006D2CDE" w:rsidRPr="00D84D28">
        <w:rPr>
          <w:rStyle w:val="Emphasis"/>
          <w:rFonts w:ascii="Times New Roman" w:eastAsiaTheme="majorEastAsia" w:hAnsi="Times New Roman" w:cs="Times New Roman"/>
          <w:i w:val="0"/>
          <w:sz w:val="24"/>
        </w:rPr>
        <w:t>nd the UN Working Group on Business and Human Rights</w:t>
      </w:r>
      <w:r w:rsidR="00CE581E">
        <w:rPr>
          <w:rStyle w:val="Emphasis"/>
          <w:rFonts w:ascii="Times New Roman" w:eastAsiaTheme="majorEastAsia" w:hAnsi="Times New Roman" w:cs="Times New Roman"/>
          <w:i w:val="0"/>
          <w:sz w:val="24"/>
        </w:rPr>
        <w:t xml:space="preserve"> of the UN Office of High Commissioner for Human Rights (OHCHR)</w:t>
      </w:r>
      <w:r w:rsidR="006D2CDE" w:rsidRPr="00D84D28">
        <w:rPr>
          <w:rStyle w:val="Emphasis"/>
          <w:rFonts w:ascii="Times New Roman" w:eastAsiaTheme="majorEastAsia" w:hAnsi="Times New Roman" w:cs="Times New Roman"/>
          <w:i w:val="0"/>
          <w:sz w:val="24"/>
        </w:rPr>
        <w:t xml:space="preserve">. </w:t>
      </w:r>
    </w:p>
    <w:p w:rsidR="00D53C7A" w:rsidRDefault="006D2CDE" w:rsidP="005D6440">
      <w:pPr>
        <w:jc w:val="both"/>
        <w:rPr>
          <w:rStyle w:val="Emphasis"/>
          <w:rFonts w:ascii="Times New Roman" w:eastAsiaTheme="majorEastAsia" w:hAnsi="Times New Roman" w:cs="Times New Roman"/>
          <w:i w:val="0"/>
          <w:sz w:val="24"/>
        </w:rPr>
      </w:pPr>
      <w:r w:rsidRPr="00D84D28">
        <w:rPr>
          <w:rStyle w:val="Emphasis"/>
          <w:rFonts w:ascii="Times New Roman" w:eastAsiaTheme="majorEastAsia" w:hAnsi="Times New Roman" w:cs="Times New Roman"/>
          <w:i w:val="0"/>
          <w:sz w:val="24"/>
        </w:rPr>
        <w:lastRenderedPageBreak/>
        <w:t xml:space="preserve">This position paper also clarifies how, where and when Barrick Gold Corp as the perpetrator of gross human rights violations has </w:t>
      </w:r>
      <w:r w:rsidR="002E2824" w:rsidRPr="00D84D28">
        <w:rPr>
          <w:rStyle w:val="Emphasis"/>
          <w:rFonts w:ascii="Times New Roman" w:eastAsiaTheme="majorEastAsia" w:hAnsi="Times New Roman" w:cs="Times New Roman"/>
          <w:i w:val="0"/>
          <w:sz w:val="24"/>
        </w:rPr>
        <w:t>ignored and neglected</w:t>
      </w:r>
      <w:r w:rsidRPr="00D84D28">
        <w:rPr>
          <w:rStyle w:val="Emphasis"/>
          <w:rFonts w:ascii="Times New Roman" w:eastAsiaTheme="majorEastAsia" w:hAnsi="Times New Roman" w:cs="Times New Roman"/>
          <w:i w:val="0"/>
          <w:sz w:val="24"/>
        </w:rPr>
        <w:t xml:space="preserve"> </w:t>
      </w:r>
      <w:r w:rsidR="00D53C7A">
        <w:rPr>
          <w:rStyle w:val="Emphasis"/>
          <w:rFonts w:ascii="Times New Roman" w:eastAsiaTheme="majorEastAsia" w:hAnsi="Times New Roman" w:cs="Times New Roman"/>
          <w:i w:val="0"/>
          <w:sz w:val="24"/>
        </w:rPr>
        <w:t xml:space="preserve">the allegations of human rights violation issues identified </w:t>
      </w:r>
      <w:r w:rsidR="00232037">
        <w:rPr>
          <w:rStyle w:val="Emphasis"/>
          <w:rFonts w:ascii="Times New Roman" w:eastAsiaTheme="majorEastAsia" w:hAnsi="Times New Roman" w:cs="Times New Roman"/>
          <w:i w:val="0"/>
          <w:sz w:val="24"/>
        </w:rPr>
        <w:t xml:space="preserve">by </w:t>
      </w:r>
      <w:r w:rsidRPr="00D84D28">
        <w:rPr>
          <w:rStyle w:val="Emphasis"/>
          <w:rFonts w:ascii="Times New Roman" w:eastAsiaTheme="majorEastAsia" w:hAnsi="Times New Roman" w:cs="Times New Roman"/>
          <w:i w:val="0"/>
          <w:sz w:val="24"/>
        </w:rPr>
        <w:t>its very owned commissioned report</w:t>
      </w:r>
      <w:r w:rsidR="00D53C7A">
        <w:rPr>
          <w:rStyle w:val="Emphasis"/>
          <w:rFonts w:ascii="Times New Roman" w:eastAsiaTheme="majorEastAsia" w:hAnsi="Times New Roman" w:cs="Times New Roman"/>
          <w:i w:val="0"/>
          <w:sz w:val="24"/>
        </w:rPr>
        <w:t xml:space="preserve"> which was drafted by Business and Social Responsibilities (BSR) in September, 2018. This section also explains the company’s negligence in adhering to the Report’s</w:t>
      </w:r>
      <w:r w:rsidRPr="00D84D28">
        <w:rPr>
          <w:rStyle w:val="Emphasis"/>
          <w:rFonts w:ascii="Times New Roman" w:eastAsiaTheme="majorEastAsia" w:hAnsi="Times New Roman" w:cs="Times New Roman"/>
          <w:i w:val="0"/>
          <w:sz w:val="24"/>
        </w:rPr>
        <w:t xml:space="preserve"> findings, recommendations and timelines set</w:t>
      </w:r>
      <w:r w:rsidR="00D53C7A">
        <w:rPr>
          <w:rStyle w:val="Emphasis"/>
          <w:rFonts w:ascii="Times New Roman" w:eastAsiaTheme="majorEastAsia" w:hAnsi="Times New Roman" w:cs="Times New Roman"/>
          <w:i w:val="0"/>
          <w:sz w:val="24"/>
        </w:rPr>
        <w:t>.</w:t>
      </w:r>
      <w:r w:rsidR="002E2824" w:rsidRPr="00D84D28">
        <w:rPr>
          <w:rStyle w:val="Emphasis"/>
          <w:rFonts w:ascii="Times New Roman" w:eastAsiaTheme="majorEastAsia" w:hAnsi="Times New Roman" w:cs="Times New Roman"/>
          <w:i w:val="0"/>
          <w:sz w:val="24"/>
        </w:rPr>
        <w:t xml:space="preserve"> </w:t>
      </w:r>
      <w:r w:rsidRPr="00D84D28">
        <w:rPr>
          <w:rStyle w:val="Emphasis"/>
          <w:rFonts w:ascii="Times New Roman" w:eastAsiaTheme="majorEastAsia" w:hAnsi="Times New Roman" w:cs="Times New Roman"/>
          <w:i w:val="0"/>
          <w:sz w:val="24"/>
        </w:rPr>
        <w:t xml:space="preserve"> </w:t>
      </w:r>
    </w:p>
    <w:p w:rsidR="002B4FF2" w:rsidRDefault="00A24CA6" w:rsidP="005D6440">
      <w:pPr>
        <w:jc w:val="both"/>
        <w:rPr>
          <w:rStyle w:val="Emphasis"/>
          <w:rFonts w:ascii="Times New Roman" w:eastAsiaTheme="majorEastAsia" w:hAnsi="Times New Roman" w:cs="Times New Roman"/>
          <w:i w:val="0"/>
          <w:sz w:val="24"/>
        </w:rPr>
      </w:pPr>
      <w:r>
        <w:rPr>
          <w:rStyle w:val="Emphasis"/>
          <w:rFonts w:ascii="Times New Roman" w:eastAsiaTheme="majorEastAsia" w:hAnsi="Times New Roman" w:cs="Times New Roman"/>
          <w:i w:val="0"/>
          <w:sz w:val="24"/>
        </w:rPr>
        <w:t xml:space="preserve">And in the last chapter of this paper </w:t>
      </w:r>
      <w:r w:rsidR="00103426">
        <w:rPr>
          <w:rStyle w:val="Emphasis"/>
          <w:rFonts w:ascii="Times New Roman" w:eastAsiaTheme="majorEastAsia" w:hAnsi="Times New Roman" w:cs="Times New Roman"/>
          <w:i w:val="0"/>
          <w:sz w:val="24"/>
        </w:rPr>
        <w:t>presents the ATA’s standings</w:t>
      </w:r>
      <w:r w:rsidR="00E45C30">
        <w:rPr>
          <w:rStyle w:val="Emphasis"/>
          <w:rFonts w:ascii="Times New Roman" w:eastAsiaTheme="majorEastAsia" w:hAnsi="Times New Roman" w:cs="Times New Roman"/>
          <w:i w:val="0"/>
          <w:sz w:val="24"/>
        </w:rPr>
        <w:t>,</w:t>
      </w:r>
      <w:r w:rsidR="00103426">
        <w:rPr>
          <w:rStyle w:val="Emphasis"/>
          <w:rFonts w:ascii="Times New Roman" w:eastAsiaTheme="majorEastAsia" w:hAnsi="Times New Roman" w:cs="Times New Roman"/>
          <w:i w:val="0"/>
          <w:sz w:val="24"/>
        </w:rPr>
        <w:t xml:space="preserve"> stating the </w:t>
      </w:r>
      <w:r w:rsidR="00D84D28">
        <w:rPr>
          <w:rStyle w:val="Emphasis"/>
          <w:rFonts w:ascii="Times New Roman" w:eastAsiaTheme="majorEastAsia" w:hAnsi="Times New Roman" w:cs="Times New Roman"/>
          <w:i w:val="0"/>
          <w:sz w:val="24"/>
        </w:rPr>
        <w:t xml:space="preserve">reasons as to </w:t>
      </w:r>
      <w:r w:rsidR="00103426">
        <w:rPr>
          <w:rStyle w:val="Emphasis"/>
          <w:rFonts w:ascii="Times New Roman" w:eastAsiaTheme="majorEastAsia" w:hAnsi="Times New Roman" w:cs="Times New Roman"/>
          <w:i w:val="0"/>
          <w:sz w:val="24"/>
        </w:rPr>
        <w:t>why ATA has issued the Petition to</w:t>
      </w:r>
      <w:r>
        <w:rPr>
          <w:rStyle w:val="Emphasis"/>
          <w:rFonts w:ascii="Times New Roman" w:eastAsiaTheme="majorEastAsia" w:hAnsi="Times New Roman" w:cs="Times New Roman"/>
          <w:i w:val="0"/>
          <w:sz w:val="24"/>
        </w:rPr>
        <w:t xml:space="preserve"> the Barrick Gold Corp</w:t>
      </w:r>
      <w:r w:rsidR="00DE60B3">
        <w:rPr>
          <w:rStyle w:val="Emphasis"/>
          <w:rFonts w:ascii="Times New Roman" w:eastAsiaTheme="majorEastAsia" w:hAnsi="Times New Roman" w:cs="Times New Roman"/>
          <w:i w:val="0"/>
          <w:sz w:val="24"/>
        </w:rPr>
        <w:t xml:space="preserve"> and its subsidiarity company, BNL</w:t>
      </w:r>
      <w:r w:rsidR="00232037">
        <w:rPr>
          <w:rStyle w:val="Emphasis"/>
          <w:rFonts w:ascii="Times New Roman" w:eastAsiaTheme="majorEastAsia" w:hAnsi="Times New Roman" w:cs="Times New Roman"/>
          <w:i w:val="0"/>
          <w:sz w:val="24"/>
        </w:rPr>
        <w:t xml:space="preserve"> and the Petition itself. </w:t>
      </w:r>
    </w:p>
    <w:p w:rsidR="00D84D28" w:rsidRDefault="00D84D28" w:rsidP="005D6440">
      <w:pPr>
        <w:jc w:val="both"/>
        <w:rPr>
          <w:rStyle w:val="Emphasis"/>
          <w:rFonts w:ascii="Times New Roman" w:eastAsiaTheme="majorEastAsia" w:hAnsi="Times New Roman" w:cs="Times New Roman"/>
          <w:i w:val="0"/>
          <w:sz w:val="24"/>
        </w:rPr>
      </w:pPr>
    </w:p>
    <w:p w:rsidR="00D5259B" w:rsidRPr="002B57CA" w:rsidRDefault="00E52329" w:rsidP="005D6440">
      <w:pPr>
        <w:pStyle w:val="NoSpacing"/>
        <w:numPr>
          <w:ilvl w:val="0"/>
          <w:numId w:val="1"/>
        </w:numPr>
        <w:jc w:val="both"/>
        <w:rPr>
          <w:rFonts w:ascii="Times New Roman" w:hAnsi="Times New Roman" w:cs="Times New Roman"/>
          <w:b/>
          <w:sz w:val="32"/>
          <w:szCs w:val="40"/>
        </w:rPr>
      </w:pPr>
      <w:r w:rsidRPr="002B57CA">
        <w:rPr>
          <w:rFonts w:ascii="Times New Roman" w:hAnsi="Times New Roman" w:cs="Times New Roman"/>
          <w:b/>
          <w:sz w:val="32"/>
          <w:szCs w:val="40"/>
        </w:rPr>
        <w:t xml:space="preserve">Brief Background </w:t>
      </w:r>
    </w:p>
    <w:p w:rsidR="00D5259B" w:rsidRPr="00451E32" w:rsidRDefault="00D5259B" w:rsidP="005D6440">
      <w:pPr>
        <w:pStyle w:val="NoSpacing"/>
        <w:jc w:val="both"/>
        <w:rPr>
          <w:rFonts w:ascii="Arial Unicode MS" w:eastAsia="Arial Unicode MS" w:hAnsi="Arial Unicode MS" w:cs="Arial Unicode MS"/>
        </w:rPr>
      </w:pPr>
    </w:p>
    <w:p w:rsidR="00D5259B" w:rsidRPr="00B242DB" w:rsidRDefault="00D5259B" w:rsidP="005D6440">
      <w:pPr>
        <w:pStyle w:val="NoSpacing"/>
        <w:spacing w:line="360" w:lineRule="auto"/>
        <w:jc w:val="both"/>
        <w:rPr>
          <w:rFonts w:ascii="Times New Roman" w:eastAsia="Times New Roman" w:hAnsi="Times New Roman"/>
          <w:color w:val="0D0707"/>
          <w:sz w:val="24"/>
          <w:szCs w:val="24"/>
          <w:lang w:eastAsia="en-AU"/>
        </w:rPr>
      </w:pPr>
      <w:r w:rsidRPr="0005159F">
        <w:rPr>
          <w:rFonts w:ascii="Times New Roman" w:eastAsia="Times New Roman" w:hAnsi="Times New Roman"/>
          <w:color w:val="0D0707"/>
          <w:sz w:val="24"/>
          <w:szCs w:val="24"/>
          <w:lang w:eastAsia="en-AU"/>
        </w:rPr>
        <w:t xml:space="preserve">Porgera Gold Mine is located at an altitude of 2,200-2,700 meters in the Porgera Valley of Papua New Guinea’s (PNG) Enga Province. The mine is of both an open pit and underground gold mine, owned and operated by Barrick Gold’s subsidiary Barrick (Niugini) Ltd. </w:t>
      </w:r>
      <w:r w:rsidRPr="0005159F">
        <w:rPr>
          <w:rFonts w:ascii="Times New Roman" w:hAnsi="Times New Roman"/>
          <w:sz w:val="24"/>
          <w:szCs w:val="24"/>
        </w:rPr>
        <w:t xml:space="preserve">The Porgera Mine was opened in 1990 and has produced over 20 million ounces of gold. At today’s prices, it is worth more than $28billion. Barrick took over the mine in 2006 from Placer Dome and production is expected to continue until 2050 and beyond. </w:t>
      </w:r>
      <w:r w:rsidRPr="0005159F">
        <w:rPr>
          <w:rFonts w:ascii="Times New Roman" w:eastAsia="Times New Roman" w:hAnsi="Times New Roman"/>
          <w:color w:val="0D0707"/>
          <w:sz w:val="24"/>
          <w:szCs w:val="24"/>
          <w:lang w:eastAsia="en-AU"/>
        </w:rPr>
        <w:t>The Porgera gold mine is the second largest gold mine in Papua New Guinea and accounts for roughly 12 per cent of PNG’s national export earnings.</w:t>
      </w:r>
      <w:r>
        <w:rPr>
          <w:rFonts w:ascii="Times New Roman" w:eastAsia="Times New Roman" w:hAnsi="Times New Roman"/>
          <w:color w:val="0D0707"/>
          <w:sz w:val="24"/>
          <w:szCs w:val="24"/>
          <w:lang w:eastAsia="en-AU"/>
        </w:rPr>
        <w:t xml:space="preserve"> </w:t>
      </w:r>
      <w:r w:rsidRPr="0005159F">
        <w:rPr>
          <w:rFonts w:ascii="Times New Roman" w:hAnsi="Times New Roman"/>
          <w:sz w:val="24"/>
          <w:szCs w:val="24"/>
        </w:rPr>
        <w:t>Barri</w:t>
      </w:r>
      <w:r>
        <w:rPr>
          <w:rFonts w:ascii="Times New Roman" w:hAnsi="Times New Roman"/>
          <w:sz w:val="24"/>
          <w:szCs w:val="24"/>
        </w:rPr>
        <w:t xml:space="preserve">ck </w:t>
      </w:r>
      <w:r w:rsidRPr="0005159F">
        <w:rPr>
          <w:rFonts w:ascii="Times New Roman" w:hAnsi="Times New Roman"/>
          <w:sz w:val="24"/>
          <w:szCs w:val="24"/>
        </w:rPr>
        <w:t>acquired a legacy of environmental</w:t>
      </w:r>
      <w:r>
        <w:rPr>
          <w:rFonts w:ascii="Times New Roman" w:hAnsi="Times New Roman"/>
          <w:sz w:val="24"/>
          <w:szCs w:val="24"/>
        </w:rPr>
        <w:t xml:space="preserve"> </w:t>
      </w:r>
      <w:r w:rsidRPr="0005159F">
        <w:rPr>
          <w:rFonts w:ascii="Times New Roman" w:hAnsi="Times New Roman"/>
          <w:sz w:val="24"/>
          <w:szCs w:val="24"/>
        </w:rPr>
        <w:t xml:space="preserve">damage and human rights abuses that it has failed to remedy. </w:t>
      </w:r>
    </w:p>
    <w:p w:rsidR="00D5259B" w:rsidRDefault="00D5259B" w:rsidP="005D6440">
      <w:pPr>
        <w:pStyle w:val="NoSpacing"/>
        <w:spacing w:line="360" w:lineRule="auto"/>
        <w:jc w:val="both"/>
        <w:rPr>
          <w:rFonts w:ascii="Times New Roman" w:hAnsi="Times New Roman"/>
          <w:sz w:val="24"/>
          <w:szCs w:val="24"/>
        </w:rPr>
      </w:pPr>
    </w:p>
    <w:p w:rsidR="00D5259B" w:rsidRDefault="00D5259B" w:rsidP="005D6440">
      <w:pPr>
        <w:pStyle w:val="NoSpacing"/>
        <w:spacing w:line="360" w:lineRule="auto"/>
        <w:jc w:val="both"/>
        <w:rPr>
          <w:rFonts w:ascii="Times New Roman" w:hAnsi="Times New Roman"/>
          <w:sz w:val="24"/>
          <w:szCs w:val="24"/>
        </w:rPr>
      </w:pPr>
      <w:r w:rsidRPr="0005159F">
        <w:rPr>
          <w:rFonts w:ascii="Times New Roman" w:hAnsi="Times New Roman"/>
          <w:sz w:val="24"/>
          <w:szCs w:val="24"/>
        </w:rPr>
        <w:t>Each day, Barrick dumps more than 16,000 tons of waste into the Porgera River and local creeks that villagers have long relied upon for drinking water, bathing, and washing clothes and food. The mine’s ever expanding waste dumps continue to take over the land and bury the homes of the original landowners that have lived in the region for generations, long before large-scale mining came to Porgera. Surrounded on all sides, villagers have no choice but to cross the dangerous dumps to reach agricultural land, commercial areas, schools or other villages.</w:t>
      </w:r>
      <w:r>
        <w:rPr>
          <w:rFonts w:ascii="Times New Roman" w:hAnsi="Times New Roman"/>
          <w:sz w:val="24"/>
          <w:szCs w:val="24"/>
        </w:rPr>
        <w:t xml:space="preserve"> </w:t>
      </w:r>
    </w:p>
    <w:p w:rsidR="00E45C30" w:rsidRDefault="00E45C30" w:rsidP="005D6440">
      <w:pPr>
        <w:pStyle w:val="NoSpacing"/>
        <w:spacing w:line="360" w:lineRule="auto"/>
        <w:jc w:val="both"/>
        <w:rPr>
          <w:rFonts w:ascii="Times New Roman" w:hAnsi="Times New Roman"/>
          <w:sz w:val="24"/>
          <w:szCs w:val="24"/>
        </w:rPr>
      </w:pPr>
    </w:p>
    <w:p w:rsidR="00D5259B" w:rsidRDefault="00D5259B" w:rsidP="005D6440">
      <w:pPr>
        <w:pStyle w:val="NoSpacing"/>
        <w:spacing w:line="360" w:lineRule="auto"/>
        <w:jc w:val="both"/>
        <w:rPr>
          <w:rFonts w:ascii="Times New Roman" w:hAnsi="Times New Roman"/>
          <w:sz w:val="24"/>
          <w:szCs w:val="24"/>
        </w:rPr>
      </w:pPr>
      <w:r w:rsidRPr="0005159F">
        <w:rPr>
          <w:rFonts w:ascii="Times New Roman" w:hAnsi="Times New Roman"/>
          <w:sz w:val="24"/>
          <w:szCs w:val="24"/>
        </w:rPr>
        <w:t xml:space="preserve">Many have not been compensated for the loss of their land and their homes, and Barrick has refused to relocate them. Without land to farm and sources of clean water, practically the only means of income available to some of the local indigenous communities is to scavenge for remnants of gold in the open pit or the treacherous waste dumps. </w:t>
      </w:r>
    </w:p>
    <w:p w:rsidR="00E52329" w:rsidRDefault="00E52329" w:rsidP="005D6440">
      <w:pPr>
        <w:pStyle w:val="NoSpacing"/>
        <w:spacing w:line="360" w:lineRule="auto"/>
        <w:jc w:val="both"/>
        <w:rPr>
          <w:rFonts w:ascii="Times New Roman" w:hAnsi="Times New Roman"/>
          <w:sz w:val="24"/>
          <w:szCs w:val="24"/>
        </w:rPr>
      </w:pPr>
    </w:p>
    <w:p w:rsidR="00E52329" w:rsidRDefault="00AD6335" w:rsidP="005D6440">
      <w:pPr>
        <w:pStyle w:val="NoSpacing"/>
        <w:numPr>
          <w:ilvl w:val="0"/>
          <w:numId w:val="1"/>
        </w:numPr>
        <w:jc w:val="both"/>
        <w:rPr>
          <w:rFonts w:ascii="Times New Roman" w:hAnsi="Times New Roman" w:cs="Times New Roman"/>
          <w:b/>
          <w:sz w:val="32"/>
          <w:szCs w:val="48"/>
        </w:rPr>
      </w:pPr>
      <w:r>
        <w:rPr>
          <w:rFonts w:ascii="Times New Roman" w:hAnsi="Times New Roman" w:cs="Times New Roman"/>
          <w:b/>
          <w:sz w:val="32"/>
          <w:szCs w:val="48"/>
        </w:rPr>
        <w:lastRenderedPageBreak/>
        <w:t xml:space="preserve">Avenues exhausted thus far in pursuit of remedy and justice </w:t>
      </w:r>
      <w:r w:rsidR="000936ED">
        <w:rPr>
          <w:rFonts w:ascii="Times New Roman" w:hAnsi="Times New Roman" w:cs="Times New Roman"/>
          <w:b/>
          <w:sz w:val="32"/>
          <w:szCs w:val="48"/>
        </w:rPr>
        <w:t>for indigenous victims of the Porgera Valley</w:t>
      </w:r>
    </w:p>
    <w:p w:rsidR="000936ED" w:rsidRDefault="000936ED" w:rsidP="005D6440">
      <w:pPr>
        <w:pStyle w:val="NoSpacing"/>
        <w:ind w:left="1440"/>
        <w:jc w:val="both"/>
        <w:rPr>
          <w:rFonts w:ascii="Times New Roman" w:hAnsi="Times New Roman" w:cs="Times New Roman"/>
          <w:b/>
          <w:sz w:val="32"/>
          <w:szCs w:val="48"/>
        </w:rPr>
      </w:pPr>
    </w:p>
    <w:p w:rsidR="00AD6335" w:rsidRPr="00AD6335" w:rsidRDefault="00AD6335" w:rsidP="005D6440">
      <w:pPr>
        <w:pStyle w:val="NoSpacing"/>
        <w:jc w:val="both"/>
        <w:rPr>
          <w:rFonts w:ascii="Times New Roman" w:eastAsia="Arial Unicode MS" w:hAnsi="Times New Roman" w:cs="Times New Roman"/>
          <w:sz w:val="24"/>
          <w:szCs w:val="24"/>
        </w:rPr>
      </w:pPr>
      <w:r w:rsidRPr="00AD6335">
        <w:rPr>
          <w:rFonts w:ascii="Times New Roman" w:eastAsia="Arial Unicode MS" w:hAnsi="Times New Roman" w:cs="Times New Roman"/>
          <w:sz w:val="24"/>
          <w:szCs w:val="24"/>
        </w:rPr>
        <w:t>Soon after the incorporation of the ATA in 2004</w:t>
      </w:r>
      <w:r w:rsidRPr="00AD6335">
        <w:rPr>
          <w:rStyle w:val="FootnoteReference"/>
          <w:rFonts w:ascii="Times New Roman" w:eastAsia="Arial Unicode MS" w:hAnsi="Times New Roman" w:cs="Times New Roman"/>
          <w:sz w:val="24"/>
          <w:szCs w:val="24"/>
        </w:rPr>
        <w:footnoteReference w:id="1"/>
      </w:r>
      <w:r w:rsidRPr="00AD6335">
        <w:rPr>
          <w:rFonts w:ascii="Times New Roman" w:eastAsia="Arial Unicode MS" w:hAnsi="Times New Roman" w:cs="Times New Roman"/>
          <w:sz w:val="24"/>
          <w:szCs w:val="24"/>
        </w:rPr>
        <w:t xml:space="preserve"> and the publication of its first </w:t>
      </w:r>
      <w:hyperlink r:id="rId12" w:history="1">
        <w:r w:rsidRPr="00AD6335">
          <w:rPr>
            <w:rStyle w:val="Hyperlink"/>
            <w:rFonts w:ascii="Times New Roman" w:eastAsia="Arial Unicode MS" w:hAnsi="Times New Roman" w:cs="Times New Roman"/>
            <w:sz w:val="24"/>
            <w:szCs w:val="24"/>
          </w:rPr>
          <w:t>Report</w:t>
        </w:r>
      </w:hyperlink>
      <w:r w:rsidRPr="00AD6335">
        <w:rPr>
          <w:rStyle w:val="FootnoteReference"/>
          <w:rFonts w:ascii="Times New Roman" w:eastAsia="Arial Unicode MS" w:hAnsi="Times New Roman" w:cs="Times New Roman"/>
          <w:sz w:val="24"/>
          <w:szCs w:val="24"/>
        </w:rPr>
        <w:footnoteReference w:id="2"/>
      </w:r>
      <w:r w:rsidRPr="00AD6335">
        <w:rPr>
          <w:rFonts w:ascii="Times New Roman" w:eastAsia="Arial Unicode MS" w:hAnsi="Times New Roman" w:cs="Times New Roman"/>
          <w:sz w:val="24"/>
          <w:szCs w:val="24"/>
        </w:rPr>
        <w:t xml:space="preserve">, the ATA, with the assistance of an International Non-Government Organization (NGO), the </w:t>
      </w:r>
      <w:hyperlink w:history="1">
        <w:r w:rsidRPr="00AD6335">
          <w:rPr>
            <w:rStyle w:val="Hyperlink"/>
            <w:rFonts w:ascii="Times New Roman" w:eastAsia="Arial Unicode MS" w:hAnsi="Times New Roman" w:cs="Times New Roman"/>
            <w:sz w:val="24"/>
            <w:szCs w:val="24"/>
          </w:rPr>
          <w:t xml:space="preserve">MiningWatch Canada </w:t>
        </w:r>
      </w:hyperlink>
      <w:r w:rsidRPr="00AD6335">
        <w:rPr>
          <w:rFonts w:ascii="Times New Roman" w:eastAsia="Arial Unicode MS" w:hAnsi="Times New Roman" w:cs="Times New Roman"/>
          <w:sz w:val="24"/>
          <w:szCs w:val="24"/>
        </w:rPr>
        <w:t xml:space="preserve"> have been very vocal in raising these human and environmental rights issues at the national and international arenas. </w:t>
      </w:r>
    </w:p>
    <w:p w:rsidR="00AD6335" w:rsidRPr="00AD6335" w:rsidRDefault="00AD6335" w:rsidP="005D6440">
      <w:pPr>
        <w:pStyle w:val="NoSpacing"/>
        <w:ind w:left="1440"/>
        <w:jc w:val="both"/>
        <w:rPr>
          <w:rFonts w:ascii="Times New Roman" w:eastAsia="Arial Unicode MS" w:hAnsi="Times New Roman" w:cs="Times New Roman"/>
          <w:sz w:val="24"/>
          <w:szCs w:val="24"/>
        </w:rPr>
      </w:pPr>
    </w:p>
    <w:p w:rsidR="00AD6335" w:rsidRDefault="00AD6335" w:rsidP="005D6440">
      <w:pPr>
        <w:pStyle w:val="NoSpacing"/>
        <w:jc w:val="both"/>
        <w:rPr>
          <w:rFonts w:ascii="Times New Roman" w:eastAsia="Arial Unicode MS" w:hAnsi="Times New Roman" w:cs="Times New Roman"/>
          <w:sz w:val="24"/>
          <w:szCs w:val="24"/>
        </w:rPr>
      </w:pPr>
      <w:r w:rsidRPr="00AD6335">
        <w:rPr>
          <w:rFonts w:ascii="Times New Roman" w:eastAsia="Arial Unicode MS" w:hAnsi="Times New Roman" w:cs="Times New Roman"/>
          <w:sz w:val="24"/>
          <w:szCs w:val="24"/>
        </w:rPr>
        <w:t>In 2006, the National Government of Papua New Guinea through its National Executive Council (NEC) resol</w:t>
      </w:r>
      <w:r w:rsidR="001966D0">
        <w:rPr>
          <w:rFonts w:ascii="Times New Roman" w:eastAsia="Arial Unicode MS" w:hAnsi="Times New Roman" w:cs="Times New Roman"/>
          <w:sz w:val="24"/>
          <w:szCs w:val="24"/>
        </w:rPr>
        <w:t xml:space="preserve">ved to set up a committee, </w:t>
      </w:r>
      <w:r w:rsidRPr="00AD6335">
        <w:rPr>
          <w:rFonts w:ascii="Times New Roman" w:eastAsia="Arial Unicode MS" w:hAnsi="Times New Roman" w:cs="Times New Roman"/>
          <w:sz w:val="24"/>
          <w:szCs w:val="24"/>
        </w:rPr>
        <w:t>“Porgera Investigation Committee” (PIC), to investigate the allegations of gross human rights violations</w:t>
      </w:r>
      <w:r w:rsidRPr="00AD6335">
        <w:rPr>
          <w:rStyle w:val="FootnoteReference"/>
          <w:rFonts w:ascii="Times New Roman" w:eastAsia="Arial Unicode MS" w:hAnsi="Times New Roman" w:cs="Times New Roman"/>
          <w:sz w:val="24"/>
          <w:szCs w:val="24"/>
        </w:rPr>
        <w:footnoteReference w:id="3"/>
      </w:r>
      <w:r w:rsidRPr="00AD6335">
        <w:rPr>
          <w:rFonts w:ascii="Times New Roman" w:eastAsia="Arial Unicode MS" w:hAnsi="Times New Roman" w:cs="Times New Roman"/>
          <w:sz w:val="24"/>
          <w:szCs w:val="24"/>
        </w:rPr>
        <w:t xml:space="preserve"> raised by the ATA. The PIC members did a thorough investigation and had completed their investigati</w:t>
      </w:r>
      <w:r w:rsidR="00E50347">
        <w:rPr>
          <w:rFonts w:ascii="Times New Roman" w:eastAsia="Arial Unicode MS" w:hAnsi="Times New Roman" w:cs="Times New Roman"/>
          <w:sz w:val="24"/>
          <w:szCs w:val="24"/>
        </w:rPr>
        <w:t>on</w:t>
      </w:r>
      <w:r w:rsidRPr="00AD6335">
        <w:rPr>
          <w:rFonts w:ascii="Times New Roman" w:eastAsia="Arial Unicode MS" w:hAnsi="Times New Roman" w:cs="Times New Roman"/>
          <w:sz w:val="24"/>
          <w:szCs w:val="24"/>
        </w:rPr>
        <w:t xml:space="preserve"> report, however; this report and its findings and their recommendations were never publicised despite several attempts have been made by the ATA to have this report publicised. </w:t>
      </w:r>
    </w:p>
    <w:p w:rsidR="00E50347" w:rsidRPr="00AD6335" w:rsidRDefault="00E50347" w:rsidP="005D6440">
      <w:pPr>
        <w:pStyle w:val="NoSpacing"/>
        <w:jc w:val="both"/>
        <w:rPr>
          <w:rFonts w:ascii="Times New Roman" w:eastAsia="Arial Unicode MS" w:hAnsi="Times New Roman" w:cs="Times New Roman"/>
          <w:sz w:val="24"/>
          <w:szCs w:val="24"/>
        </w:rPr>
      </w:pPr>
    </w:p>
    <w:p w:rsidR="00AD6335" w:rsidRDefault="00AD6335" w:rsidP="005D6440">
      <w:pPr>
        <w:pStyle w:val="NoSpacing"/>
        <w:jc w:val="both"/>
        <w:rPr>
          <w:rFonts w:ascii="Times New Roman" w:eastAsia="Arial Unicode MS" w:hAnsi="Times New Roman" w:cs="Times New Roman"/>
          <w:sz w:val="24"/>
          <w:szCs w:val="24"/>
        </w:rPr>
      </w:pPr>
      <w:r w:rsidRPr="00AD6335">
        <w:rPr>
          <w:rFonts w:ascii="Times New Roman" w:eastAsia="Arial Unicode MS" w:hAnsi="Times New Roman" w:cs="Times New Roman"/>
          <w:sz w:val="24"/>
          <w:szCs w:val="24"/>
        </w:rPr>
        <w:t xml:space="preserve">Despite negligence and denials from the home State and the Barrick Gold Corporation, the ATA has used the international Medias as its advocacy tools to name and shame the company </w:t>
      </w:r>
      <w:r w:rsidR="00E50347">
        <w:rPr>
          <w:rFonts w:ascii="Times New Roman" w:eastAsia="Arial Unicode MS" w:hAnsi="Times New Roman" w:cs="Times New Roman"/>
          <w:sz w:val="24"/>
          <w:szCs w:val="24"/>
        </w:rPr>
        <w:t>for</w:t>
      </w:r>
      <w:r w:rsidRPr="00AD6335">
        <w:rPr>
          <w:rFonts w:ascii="Times New Roman" w:eastAsia="Arial Unicode MS" w:hAnsi="Times New Roman" w:cs="Times New Roman"/>
          <w:sz w:val="24"/>
          <w:szCs w:val="24"/>
        </w:rPr>
        <w:t xml:space="preserve"> their gross human rights violations. Having informed of the allegations of gross human and environmental rights abuse issues by the grassroots organization from the backwaters of Porgera, Norwegian Pension Fund’s Council on Ethics for the Govern</w:t>
      </w:r>
      <w:r w:rsidR="001966D0">
        <w:rPr>
          <w:rFonts w:ascii="Times New Roman" w:eastAsia="Arial Unicode MS" w:hAnsi="Times New Roman" w:cs="Times New Roman"/>
          <w:sz w:val="24"/>
          <w:szCs w:val="24"/>
        </w:rPr>
        <w:t xml:space="preserve">ment Pension Fund – Global, </w:t>
      </w:r>
      <w:r w:rsidRPr="00AD6335">
        <w:rPr>
          <w:rFonts w:ascii="Times New Roman" w:eastAsia="Arial Unicode MS" w:hAnsi="Times New Roman" w:cs="Times New Roman"/>
          <w:sz w:val="24"/>
          <w:szCs w:val="24"/>
        </w:rPr>
        <w:t>Ministry of Finance has excluded the Canadian mining company Barrick Gold Corporation from the Fund in 2009.</w:t>
      </w:r>
      <w:r w:rsidRPr="00AD6335">
        <w:rPr>
          <w:rStyle w:val="FootnoteReference"/>
          <w:rFonts w:ascii="Times New Roman" w:eastAsia="Arial Unicode MS" w:hAnsi="Times New Roman" w:cs="Times New Roman"/>
          <w:sz w:val="24"/>
          <w:szCs w:val="24"/>
        </w:rPr>
        <w:footnoteReference w:id="4"/>
      </w:r>
      <w:r w:rsidRPr="00AD6335">
        <w:rPr>
          <w:rFonts w:ascii="Times New Roman" w:eastAsia="Arial Unicode MS" w:hAnsi="Times New Roman" w:cs="Times New Roman"/>
          <w:sz w:val="24"/>
          <w:szCs w:val="24"/>
        </w:rPr>
        <w:t xml:space="preserve">  </w:t>
      </w:r>
    </w:p>
    <w:p w:rsidR="00E50347" w:rsidRPr="00AD6335" w:rsidRDefault="00E50347" w:rsidP="005D6440">
      <w:pPr>
        <w:pStyle w:val="NoSpacing"/>
        <w:jc w:val="both"/>
        <w:rPr>
          <w:rFonts w:ascii="Times New Roman" w:eastAsia="Arial Unicode MS" w:hAnsi="Times New Roman" w:cs="Times New Roman"/>
          <w:sz w:val="24"/>
          <w:szCs w:val="24"/>
        </w:rPr>
      </w:pPr>
    </w:p>
    <w:p w:rsidR="00AD6335" w:rsidRPr="00AD6335" w:rsidRDefault="00AD6335" w:rsidP="005D6440">
      <w:pPr>
        <w:pStyle w:val="NoSpacing"/>
        <w:jc w:val="both"/>
        <w:rPr>
          <w:rFonts w:ascii="Times New Roman" w:eastAsia="Arial Unicode MS" w:hAnsi="Times New Roman" w:cs="Times New Roman"/>
          <w:sz w:val="24"/>
          <w:szCs w:val="24"/>
        </w:rPr>
      </w:pPr>
      <w:r w:rsidRPr="00AD6335">
        <w:rPr>
          <w:rFonts w:ascii="Times New Roman" w:eastAsia="Arial Unicode MS" w:hAnsi="Times New Roman" w:cs="Times New Roman"/>
          <w:sz w:val="24"/>
          <w:szCs w:val="24"/>
        </w:rPr>
        <w:t>Notwithstanding continuous advocacy resistances from the ATA and the international NGOs</w:t>
      </w:r>
      <w:r w:rsidRPr="00AD6335">
        <w:rPr>
          <w:rStyle w:val="FootnoteReference"/>
          <w:rFonts w:ascii="Times New Roman" w:eastAsia="Arial Unicode MS" w:hAnsi="Times New Roman" w:cs="Times New Roman"/>
          <w:sz w:val="24"/>
          <w:szCs w:val="24"/>
        </w:rPr>
        <w:footnoteReference w:id="5"/>
      </w:r>
      <w:r w:rsidRPr="00AD6335">
        <w:rPr>
          <w:rFonts w:ascii="Times New Roman" w:eastAsia="Arial Unicode MS" w:hAnsi="Times New Roman" w:cs="Times New Roman"/>
          <w:sz w:val="24"/>
          <w:szCs w:val="24"/>
        </w:rPr>
        <w:t>, the company ignored and or denied the allegations of gross human rights violations and continued to go on a killing and shootings spree, raping and or gang-raping local indigenous young women and girls, d</w:t>
      </w:r>
      <w:r w:rsidR="001966D0">
        <w:rPr>
          <w:rFonts w:ascii="Times New Roman" w:eastAsia="Arial Unicode MS" w:hAnsi="Times New Roman" w:cs="Times New Roman"/>
          <w:sz w:val="24"/>
          <w:szCs w:val="24"/>
        </w:rPr>
        <w:t>oes</w:t>
      </w:r>
      <w:r w:rsidRPr="00AD6335">
        <w:rPr>
          <w:rFonts w:ascii="Times New Roman" w:eastAsia="Arial Unicode MS" w:hAnsi="Times New Roman" w:cs="Times New Roman"/>
          <w:sz w:val="24"/>
          <w:szCs w:val="24"/>
        </w:rPr>
        <w:t xml:space="preserve"> unlawful and illegal arresting and or arbitrary arrests in the pretext of trespassing, d</w:t>
      </w:r>
      <w:r w:rsidR="001966D0">
        <w:rPr>
          <w:rFonts w:ascii="Times New Roman" w:eastAsia="Arial Unicode MS" w:hAnsi="Times New Roman" w:cs="Times New Roman"/>
          <w:sz w:val="24"/>
          <w:szCs w:val="24"/>
        </w:rPr>
        <w:t>oes</w:t>
      </w:r>
      <w:r w:rsidRPr="00AD6335">
        <w:rPr>
          <w:rFonts w:ascii="Times New Roman" w:eastAsia="Arial Unicode MS" w:hAnsi="Times New Roman" w:cs="Times New Roman"/>
          <w:sz w:val="24"/>
          <w:szCs w:val="24"/>
        </w:rPr>
        <w:t xml:space="preserve"> execute</w:t>
      </w:r>
      <w:r w:rsidR="001966D0">
        <w:rPr>
          <w:rFonts w:ascii="Times New Roman" w:eastAsia="Arial Unicode MS" w:hAnsi="Times New Roman" w:cs="Times New Roman"/>
          <w:sz w:val="24"/>
          <w:szCs w:val="24"/>
        </w:rPr>
        <w:t>s</w:t>
      </w:r>
      <w:r w:rsidRPr="00AD6335">
        <w:rPr>
          <w:rFonts w:ascii="Times New Roman" w:eastAsia="Arial Unicode MS" w:hAnsi="Times New Roman" w:cs="Times New Roman"/>
          <w:sz w:val="24"/>
          <w:szCs w:val="24"/>
        </w:rPr>
        <w:t xml:space="preserve"> continuous force evictions, and </w:t>
      </w:r>
      <w:r w:rsidRPr="00AD6335">
        <w:rPr>
          <w:rFonts w:ascii="Times New Roman" w:eastAsia="Arial Unicode MS" w:hAnsi="Times New Roman" w:cs="Times New Roman"/>
          <w:sz w:val="24"/>
          <w:szCs w:val="24"/>
        </w:rPr>
        <w:lastRenderedPageBreak/>
        <w:t xml:space="preserve">unremittingly dumps untreated chemicals and other mine wastes directly into the Porgera Valley’s only riverine system. </w:t>
      </w:r>
    </w:p>
    <w:p w:rsidR="00AD6335" w:rsidRPr="00AD6335" w:rsidRDefault="00AD6335" w:rsidP="005D6440">
      <w:pPr>
        <w:pStyle w:val="NoSpacing"/>
        <w:jc w:val="both"/>
        <w:rPr>
          <w:rFonts w:ascii="Times New Roman" w:eastAsia="Arial Unicode MS" w:hAnsi="Times New Roman" w:cs="Times New Roman"/>
          <w:sz w:val="24"/>
          <w:szCs w:val="24"/>
        </w:rPr>
      </w:pPr>
    </w:p>
    <w:p w:rsidR="00AD6335" w:rsidRPr="00AD6335" w:rsidRDefault="00DE60B3" w:rsidP="005D6440">
      <w:pPr>
        <w:pStyle w:val="NoSpacing"/>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In 2008</w:t>
      </w:r>
      <w:r w:rsidR="00AD6335" w:rsidRPr="00AD6335">
        <w:rPr>
          <w:rFonts w:ascii="Times New Roman" w:eastAsia="Arial Unicode MS" w:hAnsi="Times New Roman" w:cs="Times New Roman"/>
          <w:sz w:val="24"/>
          <w:szCs w:val="24"/>
        </w:rPr>
        <w:t xml:space="preserve">, the </w:t>
      </w:r>
      <w:hyperlink r:id="rId13" w:history="1">
        <w:r w:rsidR="00AD6335" w:rsidRPr="00AD6335">
          <w:rPr>
            <w:rStyle w:val="Hyperlink"/>
            <w:rFonts w:ascii="Times New Roman" w:eastAsia="Arial Unicode MS" w:hAnsi="Times New Roman" w:cs="Times New Roman"/>
            <w:sz w:val="24"/>
            <w:szCs w:val="24"/>
          </w:rPr>
          <w:t>Human Rights Watch</w:t>
        </w:r>
      </w:hyperlink>
      <w:r w:rsidR="00AD6335" w:rsidRPr="00AD6335">
        <w:rPr>
          <w:rFonts w:ascii="Times New Roman" w:eastAsia="Arial Unicode MS" w:hAnsi="Times New Roman" w:cs="Times New Roman"/>
          <w:sz w:val="24"/>
          <w:szCs w:val="24"/>
        </w:rPr>
        <w:t xml:space="preserve">, an International Non-government Organization specialized in Business and Human Rights </w:t>
      </w:r>
      <w:proofErr w:type="gramStart"/>
      <w:r w:rsidR="00AD6335" w:rsidRPr="00AD6335">
        <w:rPr>
          <w:rFonts w:ascii="Times New Roman" w:eastAsia="Arial Unicode MS" w:hAnsi="Times New Roman" w:cs="Times New Roman"/>
          <w:sz w:val="24"/>
          <w:szCs w:val="24"/>
        </w:rPr>
        <w:t>was</w:t>
      </w:r>
      <w:proofErr w:type="gramEnd"/>
      <w:r w:rsidR="00AD6335" w:rsidRPr="00AD6335">
        <w:rPr>
          <w:rFonts w:ascii="Times New Roman" w:eastAsia="Arial Unicode MS" w:hAnsi="Times New Roman" w:cs="Times New Roman"/>
          <w:sz w:val="24"/>
          <w:szCs w:val="24"/>
        </w:rPr>
        <w:t xml:space="preserve"> engaged to investigate into the allegations raised by the ATA and the International NGOs.</w:t>
      </w:r>
      <w:r w:rsidR="00AD6335" w:rsidRPr="00AD6335">
        <w:rPr>
          <w:rStyle w:val="FootnoteReference"/>
          <w:rFonts w:ascii="Times New Roman" w:eastAsia="Arial Unicode MS" w:hAnsi="Times New Roman" w:cs="Times New Roman"/>
          <w:sz w:val="24"/>
          <w:szCs w:val="24"/>
        </w:rPr>
        <w:footnoteReference w:id="6"/>
      </w:r>
      <w:r w:rsidR="00AD6335" w:rsidRPr="00AD6335">
        <w:rPr>
          <w:rFonts w:ascii="Times New Roman" w:eastAsia="Arial Unicode MS" w:hAnsi="Times New Roman" w:cs="Times New Roman"/>
          <w:sz w:val="24"/>
          <w:szCs w:val="24"/>
        </w:rPr>
        <w:t xml:space="preserve"> This report’s findings and recommendations</w:t>
      </w:r>
      <w:r w:rsidR="001966D0">
        <w:rPr>
          <w:rFonts w:ascii="Times New Roman" w:eastAsia="Arial Unicode MS" w:hAnsi="Times New Roman" w:cs="Times New Roman"/>
          <w:sz w:val="24"/>
          <w:szCs w:val="24"/>
        </w:rPr>
        <w:t>, together with</w:t>
      </w:r>
      <w:r w:rsidR="00AD6335" w:rsidRPr="00AD6335">
        <w:rPr>
          <w:rFonts w:ascii="Times New Roman" w:eastAsia="Arial Unicode MS" w:hAnsi="Times New Roman" w:cs="Times New Roman"/>
          <w:sz w:val="24"/>
          <w:szCs w:val="24"/>
        </w:rPr>
        <w:t xml:space="preserve"> the ATA’s complaint filed with the </w:t>
      </w:r>
      <w:hyperlink r:id="rId14" w:history="1">
        <w:r w:rsidR="00AD6335" w:rsidRPr="00AD6335">
          <w:rPr>
            <w:rStyle w:val="Hyperlink"/>
            <w:rFonts w:ascii="Times New Roman" w:eastAsia="Arial Unicode MS" w:hAnsi="Times New Roman" w:cs="Times New Roman"/>
            <w:sz w:val="24"/>
            <w:szCs w:val="24"/>
          </w:rPr>
          <w:t>Canadian National Contact Point</w:t>
        </w:r>
      </w:hyperlink>
      <w:r w:rsidR="00AD6335" w:rsidRPr="00AD6335">
        <w:rPr>
          <w:rFonts w:ascii="Times New Roman" w:eastAsia="Arial Unicode MS" w:hAnsi="Times New Roman" w:cs="Times New Roman"/>
          <w:sz w:val="24"/>
          <w:szCs w:val="24"/>
        </w:rPr>
        <w:t xml:space="preserve">   pursuant to the </w:t>
      </w:r>
      <w:hyperlink r:id="rId15" w:history="1">
        <w:r w:rsidR="00AD6335" w:rsidRPr="00AD6335">
          <w:rPr>
            <w:rStyle w:val="Hyperlink"/>
            <w:rFonts w:ascii="Times New Roman" w:eastAsia="Arial Unicode MS" w:hAnsi="Times New Roman" w:cs="Times New Roman"/>
            <w:sz w:val="24"/>
            <w:szCs w:val="24"/>
          </w:rPr>
          <w:t>Organization for Economic Co-operations and Development’s Guidelines for Multinational Enterprises</w:t>
        </w:r>
      </w:hyperlink>
      <w:r>
        <w:rPr>
          <w:rFonts w:ascii="Times New Roman" w:eastAsia="Arial Unicode MS" w:hAnsi="Times New Roman" w:cs="Times New Roman"/>
          <w:sz w:val="24"/>
          <w:szCs w:val="24"/>
        </w:rPr>
        <w:t>’ (</w:t>
      </w:r>
      <w:r w:rsidR="00AD6335" w:rsidRPr="00AD6335">
        <w:rPr>
          <w:rFonts w:ascii="Times New Roman" w:eastAsia="Arial Unicode MS" w:hAnsi="Times New Roman" w:cs="Times New Roman"/>
          <w:sz w:val="24"/>
          <w:szCs w:val="24"/>
        </w:rPr>
        <w:t xml:space="preserve">in 2011) lead to the creation of a non-judicial project-level operational grievance mechanism, which is in-line to the </w:t>
      </w:r>
      <w:hyperlink w:history="1">
        <w:r w:rsidR="00AD6335" w:rsidRPr="00AD6335">
          <w:rPr>
            <w:rStyle w:val="Hyperlink"/>
            <w:rFonts w:ascii="Times New Roman" w:eastAsia="Arial Unicode MS" w:hAnsi="Times New Roman" w:cs="Times New Roman"/>
            <w:sz w:val="24"/>
            <w:szCs w:val="24"/>
          </w:rPr>
          <w:t>United Nations Guiding Principles on Business and Human Rights</w:t>
        </w:r>
      </w:hyperlink>
      <w:r w:rsidR="00AD6335" w:rsidRPr="00AD6335">
        <w:rPr>
          <w:rFonts w:ascii="Times New Roman" w:eastAsia="Arial Unicode MS" w:hAnsi="Times New Roman" w:cs="Times New Roman"/>
          <w:sz w:val="24"/>
          <w:szCs w:val="24"/>
        </w:rPr>
        <w:t>.</w:t>
      </w:r>
      <w:r w:rsidR="00AD6335" w:rsidRPr="00AD6335">
        <w:rPr>
          <w:rStyle w:val="FootnoteReference"/>
          <w:rFonts w:ascii="Times New Roman" w:eastAsia="Arial Unicode MS" w:hAnsi="Times New Roman" w:cs="Times New Roman"/>
          <w:sz w:val="24"/>
          <w:szCs w:val="24"/>
        </w:rPr>
        <w:footnoteReference w:id="7"/>
      </w:r>
      <w:r w:rsidR="00AD6335" w:rsidRPr="00AD6335">
        <w:rPr>
          <w:rFonts w:ascii="Times New Roman" w:eastAsia="Arial Unicode MS" w:hAnsi="Times New Roman" w:cs="Times New Roman"/>
          <w:sz w:val="24"/>
          <w:szCs w:val="24"/>
        </w:rPr>
        <w:t xml:space="preserve"> The </w:t>
      </w:r>
      <w:hyperlink r:id="rId16" w:history="1">
        <w:r w:rsidR="00AD6335" w:rsidRPr="00AD6335">
          <w:rPr>
            <w:rStyle w:val="Hyperlink"/>
            <w:rFonts w:ascii="Times New Roman" w:eastAsia="Arial Unicode MS" w:hAnsi="Times New Roman" w:cs="Times New Roman"/>
            <w:sz w:val="24"/>
            <w:szCs w:val="24"/>
          </w:rPr>
          <w:t>“</w:t>
        </w:r>
        <w:proofErr w:type="spellStart"/>
        <w:r w:rsidR="00AD6335" w:rsidRPr="00AD6335">
          <w:rPr>
            <w:rStyle w:val="Hyperlink"/>
            <w:rFonts w:ascii="Times New Roman" w:eastAsia="Arial Unicode MS" w:hAnsi="Times New Roman" w:cs="Times New Roman"/>
            <w:i/>
            <w:sz w:val="24"/>
            <w:szCs w:val="24"/>
          </w:rPr>
          <w:t>Olgeta</w:t>
        </w:r>
        <w:proofErr w:type="spellEnd"/>
        <w:r w:rsidR="00AD6335" w:rsidRPr="00AD6335">
          <w:rPr>
            <w:rStyle w:val="Hyperlink"/>
            <w:rFonts w:ascii="Times New Roman" w:eastAsia="Arial Unicode MS" w:hAnsi="Times New Roman" w:cs="Times New Roman"/>
            <w:i/>
            <w:sz w:val="24"/>
            <w:szCs w:val="24"/>
          </w:rPr>
          <w:t xml:space="preserve"> Meri </w:t>
        </w:r>
        <w:proofErr w:type="spellStart"/>
        <w:r w:rsidR="00AD6335" w:rsidRPr="00AD6335">
          <w:rPr>
            <w:rStyle w:val="Hyperlink"/>
            <w:rFonts w:ascii="Times New Roman" w:eastAsia="Arial Unicode MS" w:hAnsi="Times New Roman" w:cs="Times New Roman"/>
            <w:i/>
            <w:sz w:val="24"/>
            <w:szCs w:val="24"/>
          </w:rPr>
          <w:t>Igat</w:t>
        </w:r>
        <w:proofErr w:type="spellEnd"/>
        <w:r w:rsidR="00AD6335" w:rsidRPr="00AD6335">
          <w:rPr>
            <w:rStyle w:val="Hyperlink"/>
            <w:rFonts w:ascii="Times New Roman" w:eastAsia="Arial Unicode MS" w:hAnsi="Times New Roman" w:cs="Times New Roman"/>
            <w:i/>
            <w:sz w:val="24"/>
            <w:szCs w:val="24"/>
          </w:rPr>
          <w:t xml:space="preserve"> </w:t>
        </w:r>
        <w:proofErr w:type="spellStart"/>
        <w:r w:rsidR="00AD6335" w:rsidRPr="00AD6335">
          <w:rPr>
            <w:rStyle w:val="Hyperlink"/>
            <w:rFonts w:ascii="Times New Roman" w:eastAsia="Arial Unicode MS" w:hAnsi="Times New Roman" w:cs="Times New Roman"/>
            <w:i/>
            <w:sz w:val="24"/>
            <w:szCs w:val="24"/>
          </w:rPr>
          <w:t>Raits</w:t>
        </w:r>
        <w:proofErr w:type="spellEnd"/>
      </w:hyperlink>
      <w:r w:rsidR="00AD6335" w:rsidRPr="00AD6335">
        <w:rPr>
          <w:rFonts w:ascii="Times New Roman" w:eastAsia="Arial Unicode MS" w:hAnsi="Times New Roman" w:cs="Times New Roman"/>
          <w:i/>
          <w:sz w:val="24"/>
          <w:szCs w:val="24"/>
        </w:rPr>
        <w:t xml:space="preserve">” </w:t>
      </w:r>
      <w:r w:rsidR="00AD6335" w:rsidRPr="00AD6335">
        <w:rPr>
          <w:rFonts w:ascii="Times New Roman" w:eastAsia="Arial Unicode MS" w:hAnsi="Times New Roman" w:cs="Times New Roman"/>
          <w:sz w:val="24"/>
          <w:szCs w:val="24"/>
        </w:rPr>
        <w:t xml:space="preserve">Framework or the </w:t>
      </w:r>
      <w:hyperlink r:id="rId17" w:history="1">
        <w:r w:rsidR="00AD6335" w:rsidRPr="00AD6335">
          <w:rPr>
            <w:rStyle w:val="Hyperlink"/>
            <w:rFonts w:ascii="Times New Roman" w:eastAsia="Arial Unicode MS" w:hAnsi="Times New Roman" w:cs="Times New Roman"/>
            <w:sz w:val="24"/>
            <w:szCs w:val="24"/>
          </w:rPr>
          <w:t>Porgera Remedial Framework</w:t>
        </w:r>
      </w:hyperlink>
      <w:r w:rsidR="00AD6335" w:rsidRPr="00AD6335">
        <w:rPr>
          <w:rFonts w:ascii="Times New Roman" w:eastAsia="Arial Unicode MS" w:hAnsi="Times New Roman" w:cs="Times New Roman"/>
          <w:sz w:val="24"/>
          <w:szCs w:val="24"/>
        </w:rPr>
        <w:t xml:space="preserve">  which was created as a remedy mechanism was supplementary to the company’s existing grievance mechanism at the Porgera Joint Venture (PJV) Mine site. The designing, planning, and implementation of this </w:t>
      </w:r>
      <w:hyperlink r:id="rId18" w:history="1">
        <w:r w:rsidR="00AD6335" w:rsidRPr="00AD6335">
          <w:rPr>
            <w:rStyle w:val="Hyperlink"/>
            <w:rFonts w:ascii="Times New Roman" w:eastAsia="Arial Unicode MS" w:hAnsi="Times New Roman" w:cs="Times New Roman"/>
            <w:sz w:val="24"/>
            <w:szCs w:val="24"/>
          </w:rPr>
          <w:t>program</w:t>
        </w:r>
      </w:hyperlink>
      <w:r w:rsidR="00AD6335" w:rsidRPr="00AD6335">
        <w:rPr>
          <w:rFonts w:ascii="Times New Roman" w:eastAsia="Arial Unicode MS" w:hAnsi="Times New Roman" w:cs="Times New Roman"/>
          <w:sz w:val="24"/>
          <w:szCs w:val="24"/>
        </w:rPr>
        <w:t xml:space="preserve">  w</w:t>
      </w:r>
      <w:r w:rsidR="001966D0">
        <w:rPr>
          <w:rFonts w:ascii="Times New Roman" w:eastAsia="Arial Unicode MS" w:hAnsi="Times New Roman" w:cs="Times New Roman"/>
          <w:sz w:val="24"/>
          <w:szCs w:val="24"/>
        </w:rPr>
        <w:t xml:space="preserve">ere done without consultation with </w:t>
      </w:r>
      <w:r w:rsidR="00AD6335" w:rsidRPr="00AD6335">
        <w:rPr>
          <w:rFonts w:ascii="Times New Roman" w:eastAsia="Arial Unicode MS" w:hAnsi="Times New Roman" w:cs="Times New Roman"/>
          <w:sz w:val="24"/>
          <w:szCs w:val="24"/>
        </w:rPr>
        <w:t xml:space="preserve">key stakeholders and right-holders as well as the victims themselves. As such, the </w:t>
      </w:r>
      <w:hyperlink r:id="rId19" w:history="1">
        <w:r w:rsidR="00AD6335" w:rsidRPr="00AD6335">
          <w:rPr>
            <w:rStyle w:val="Hyperlink"/>
            <w:rFonts w:ascii="Times New Roman" w:eastAsia="Arial Unicode MS" w:hAnsi="Times New Roman" w:cs="Times New Roman"/>
            <w:sz w:val="24"/>
            <w:szCs w:val="24"/>
          </w:rPr>
          <w:t>program</w:t>
        </w:r>
      </w:hyperlink>
      <w:r w:rsidR="00AD6335" w:rsidRPr="00AD6335">
        <w:rPr>
          <w:rFonts w:ascii="Times New Roman" w:eastAsia="Arial Unicode MS" w:hAnsi="Times New Roman" w:cs="Times New Roman"/>
          <w:sz w:val="24"/>
          <w:szCs w:val="24"/>
        </w:rPr>
        <w:t xml:space="preserve"> was described by ATA and international NGOs as a failed and flawed remedy mechanism that cannot be replicated wholesale by other companies but can be used as a lesson learned.</w:t>
      </w:r>
      <w:r w:rsidR="00AD6335" w:rsidRPr="00AD6335">
        <w:rPr>
          <w:rStyle w:val="FootnoteReference"/>
          <w:rFonts w:ascii="Times New Roman" w:eastAsia="Arial Unicode MS" w:hAnsi="Times New Roman" w:cs="Times New Roman"/>
          <w:sz w:val="24"/>
          <w:szCs w:val="24"/>
        </w:rPr>
        <w:footnoteReference w:id="8"/>
      </w:r>
      <w:r w:rsidR="00AD6335" w:rsidRPr="00AD6335">
        <w:rPr>
          <w:rFonts w:ascii="Times New Roman" w:eastAsia="Arial Unicode MS" w:hAnsi="Times New Roman" w:cs="Times New Roman"/>
          <w:sz w:val="24"/>
          <w:szCs w:val="24"/>
        </w:rPr>
        <w:t xml:space="preserve">  </w:t>
      </w:r>
    </w:p>
    <w:p w:rsidR="00AD6335" w:rsidRPr="00AD6335" w:rsidRDefault="00AD6335" w:rsidP="005D6440">
      <w:pPr>
        <w:pStyle w:val="NoSpacing"/>
        <w:ind w:left="1440"/>
        <w:jc w:val="both"/>
        <w:rPr>
          <w:rFonts w:ascii="Times New Roman" w:eastAsia="Arial Unicode MS" w:hAnsi="Times New Roman" w:cs="Times New Roman"/>
          <w:sz w:val="24"/>
          <w:szCs w:val="24"/>
        </w:rPr>
      </w:pPr>
    </w:p>
    <w:p w:rsidR="00AD6335" w:rsidRPr="00AD6335" w:rsidRDefault="00AD6335" w:rsidP="005D6440">
      <w:pPr>
        <w:pStyle w:val="NoSpacing"/>
        <w:jc w:val="both"/>
        <w:rPr>
          <w:rFonts w:ascii="Times New Roman" w:eastAsia="Arial Unicode MS" w:hAnsi="Times New Roman" w:cs="Times New Roman"/>
          <w:sz w:val="24"/>
          <w:szCs w:val="24"/>
        </w:rPr>
      </w:pPr>
      <w:r w:rsidRPr="00AD6335">
        <w:rPr>
          <w:rFonts w:ascii="Times New Roman" w:eastAsia="Arial Unicode MS" w:hAnsi="Times New Roman" w:cs="Times New Roman"/>
          <w:sz w:val="24"/>
          <w:szCs w:val="24"/>
        </w:rPr>
        <w:t xml:space="preserve">More than two hundred women sexual victims have undergone this </w:t>
      </w:r>
      <w:hyperlink r:id="rId20" w:history="1">
        <w:r w:rsidRPr="00AD6335">
          <w:rPr>
            <w:rStyle w:val="Hyperlink"/>
            <w:rFonts w:ascii="Times New Roman" w:eastAsia="Arial Unicode MS" w:hAnsi="Times New Roman" w:cs="Times New Roman"/>
            <w:sz w:val="24"/>
            <w:szCs w:val="24"/>
          </w:rPr>
          <w:t>program</w:t>
        </w:r>
      </w:hyperlink>
      <w:r w:rsidRPr="00AD6335">
        <w:rPr>
          <w:rFonts w:ascii="Times New Roman" w:eastAsia="Arial Unicode MS" w:hAnsi="Times New Roman" w:cs="Times New Roman"/>
          <w:sz w:val="24"/>
          <w:szCs w:val="24"/>
        </w:rPr>
        <w:t xml:space="preserve">, however; only 119 were provided with remedies that are believed to be far less than other 11 women who had rejected the remedies offered by the </w:t>
      </w:r>
      <w:hyperlink r:id="rId21" w:history="1">
        <w:r w:rsidRPr="00AD6335">
          <w:rPr>
            <w:rStyle w:val="Hyperlink"/>
            <w:rFonts w:ascii="Times New Roman" w:eastAsia="Arial Unicode MS" w:hAnsi="Times New Roman" w:cs="Times New Roman"/>
            <w:sz w:val="24"/>
            <w:szCs w:val="24"/>
          </w:rPr>
          <w:t>program</w:t>
        </w:r>
      </w:hyperlink>
      <w:r w:rsidRPr="00AD6335">
        <w:rPr>
          <w:rFonts w:ascii="Times New Roman" w:eastAsia="Arial Unicode MS" w:hAnsi="Times New Roman" w:cs="Times New Roman"/>
          <w:sz w:val="24"/>
          <w:szCs w:val="24"/>
        </w:rPr>
        <w:t>.</w:t>
      </w:r>
      <w:r w:rsidRPr="00AD6335">
        <w:rPr>
          <w:rStyle w:val="FootnoteReference"/>
          <w:rFonts w:ascii="Times New Roman" w:eastAsia="Arial Unicode MS" w:hAnsi="Times New Roman" w:cs="Times New Roman"/>
          <w:sz w:val="24"/>
          <w:szCs w:val="24"/>
        </w:rPr>
        <w:footnoteReference w:id="9"/>
      </w:r>
      <w:r w:rsidRPr="00AD6335">
        <w:rPr>
          <w:rFonts w:ascii="Times New Roman" w:eastAsia="Arial Unicode MS" w:hAnsi="Times New Roman" w:cs="Times New Roman"/>
          <w:sz w:val="24"/>
          <w:szCs w:val="24"/>
        </w:rPr>
        <w:t xml:space="preserve">  </w:t>
      </w:r>
    </w:p>
    <w:p w:rsidR="00AD6335" w:rsidRPr="00AD6335" w:rsidRDefault="00AD6335" w:rsidP="005D6440">
      <w:pPr>
        <w:pStyle w:val="NoSpacing"/>
        <w:ind w:left="1440"/>
        <w:jc w:val="both"/>
        <w:rPr>
          <w:rFonts w:ascii="Times New Roman" w:eastAsia="Arial Unicode MS" w:hAnsi="Times New Roman" w:cs="Times New Roman"/>
          <w:sz w:val="24"/>
          <w:szCs w:val="24"/>
        </w:rPr>
      </w:pPr>
    </w:p>
    <w:p w:rsidR="00AD6335" w:rsidRPr="00AD6335" w:rsidRDefault="00AD6335" w:rsidP="005D6440">
      <w:pPr>
        <w:pStyle w:val="NoSpacing"/>
        <w:jc w:val="both"/>
        <w:rPr>
          <w:rFonts w:ascii="Times New Roman" w:eastAsia="Arial Unicode MS" w:hAnsi="Times New Roman" w:cs="Times New Roman"/>
          <w:sz w:val="24"/>
          <w:szCs w:val="24"/>
        </w:rPr>
      </w:pPr>
      <w:r w:rsidRPr="00AD6335">
        <w:rPr>
          <w:rFonts w:ascii="Times New Roman" w:eastAsia="Arial Unicode MS" w:hAnsi="Times New Roman" w:cs="Times New Roman"/>
          <w:sz w:val="24"/>
          <w:szCs w:val="24"/>
        </w:rPr>
        <w:t xml:space="preserve">The </w:t>
      </w:r>
      <w:hyperlink r:id="rId22" w:history="1">
        <w:r w:rsidRPr="00AD6335">
          <w:rPr>
            <w:rStyle w:val="Hyperlink"/>
            <w:rFonts w:ascii="Times New Roman" w:eastAsia="Arial Unicode MS" w:hAnsi="Times New Roman" w:cs="Times New Roman"/>
            <w:sz w:val="24"/>
            <w:szCs w:val="24"/>
          </w:rPr>
          <w:t>program</w:t>
        </w:r>
      </w:hyperlink>
      <w:r w:rsidRPr="00AD6335">
        <w:rPr>
          <w:rFonts w:ascii="Times New Roman" w:eastAsia="Arial Unicode MS" w:hAnsi="Times New Roman" w:cs="Times New Roman"/>
          <w:sz w:val="24"/>
          <w:szCs w:val="24"/>
        </w:rPr>
        <w:t xml:space="preserve"> has also further victimised the 119 women sexual victims who had underwent it, and these women victims have lodged their dissatisfactions with the </w:t>
      </w:r>
      <w:hyperlink w:history="1">
        <w:r w:rsidRPr="00AD6335">
          <w:rPr>
            <w:rStyle w:val="Hyperlink"/>
            <w:rFonts w:ascii="Times New Roman" w:eastAsia="Arial Unicode MS" w:hAnsi="Times New Roman" w:cs="Times New Roman"/>
            <w:sz w:val="24"/>
            <w:szCs w:val="24"/>
          </w:rPr>
          <w:t>UN Working Group on Business and Human Rights</w:t>
        </w:r>
      </w:hyperlink>
      <w:r w:rsidRPr="00AD6335">
        <w:rPr>
          <w:rFonts w:ascii="Times New Roman" w:eastAsia="Arial Unicode MS" w:hAnsi="Times New Roman" w:cs="Times New Roman"/>
          <w:sz w:val="24"/>
          <w:szCs w:val="24"/>
        </w:rPr>
        <w:t xml:space="preserve"> in 2016.</w:t>
      </w:r>
      <w:r w:rsidRPr="00AD6335">
        <w:rPr>
          <w:rStyle w:val="FootnoteReference"/>
          <w:rFonts w:ascii="Times New Roman" w:eastAsia="Arial Unicode MS" w:hAnsi="Times New Roman" w:cs="Times New Roman"/>
          <w:sz w:val="24"/>
          <w:szCs w:val="24"/>
        </w:rPr>
        <w:footnoteReference w:id="10"/>
      </w:r>
      <w:r w:rsidRPr="00AD6335">
        <w:rPr>
          <w:rFonts w:ascii="Times New Roman" w:eastAsia="Arial Unicode MS" w:hAnsi="Times New Roman" w:cs="Times New Roman"/>
          <w:sz w:val="24"/>
          <w:szCs w:val="24"/>
        </w:rPr>
        <w:t xml:space="preserve"> </w:t>
      </w:r>
    </w:p>
    <w:p w:rsidR="00AD6335" w:rsidRPr="00AD6335" w:rsidRDefault="00AD6335" w:rsidP="005D6440">
      <w:pPr>
        <w:pStyle w:val="NoSpacing"/>
        <w:jc w:val="both"/>
        <w:rPr>
          <w:rFonts w:ascii="Times New Roman" w:eastAsia="Arial Unicode MS" w:hAnsi="Times New Roman" w:cs="Times New Roman"/>
          <w:sz w:val="24"/>
          <w:szCs w:val="24"/>
        </w:rPr>
      </w:pPr>
    </w:p>
    <w:p w:rsidR="00AD6335" w:rsidRDefault="00AD6335" w:rsidP="005D6440">
      <w:pPr>
        <w:pStyle w:val="NoSpacing"/>
        <w:jc w:val="both"/>
        <w:rPr>
          <w:rFonts w:ascii="Times New Roman" w:eastAsia="Arial Unicode MS" w:hAnsi="Times New Roman" w:cs="Times New Roman"/>
          <w:sz w:val="24"/>
          <w:szCs w:val="24"/>
        </w:rPr>
      </w:pPr>
      <w:r w:rsidRPr="00AD6335">
        <w:rPr>
          <w:rFonts w:ascii="Times New Roman" w:eastAsia="Arial Unicode MS" w:hAnsi="Times New Roman" w:cs="Times New Roman"/>
          <w:sz w:val="24"/>
          <w:szCs w:val="24"/>
        </w:rPr>
        <w:t xml:space="preserve">Additionally, in 2015, the Barrick Gold Corp has engaged an independent assessor, </w:t>
      </w:r>
      <w:hyperlink r:id="rId23" w:history="1">
        <w:r w:rsidRPr="00AD6335">
          <w:rPr>
            <w:rStyle w:val="Hyperlink"/>
            <w:rFonts w:ascii="Times New Roman" w:eastAsia="Arial Unicode MS" w:hAnsi="Times New Roman" w:cs="Times New Roman"/>
            <w:sz w:val="24"/>
            <w:szCs w:val="24"/>
          </w:rPr>
          <w:t>EnodoRights</w:t>
        </w:r>
      </w:hyperlink>
      <w:r w:rsidRPr="00AD6335">
        <w:rPr>
          <w:rFonts w:ascii="Times New Roman" w:eastAsia="Arial Unicode MS" w:hAnsi="Times New Roman" w:cs="Times New Roman"/>
          <w:sz w:val="24"/>
          <w:szCs w:val="24"/>
        </w:rPr>
        <w:t xml:space="preserve">  to assess the overall operations of the </w:t>
      </w:r>
      <w:hyperlink r:id="rId24" w:history="1">
        <w:r w:rsidRPr="00AD6335">
          <w:rPr>
            <w:rStyle w:val="Hyperlink"/>
            <w:rFonts w:ascii="Times New Roman" w:eastAsia="Arial Unicode MS" w:hAnsi="Times New Roman" w:cs="Times New Roman"/>
            <w:sz w:val="24"/>
            <w:szCs w:val="24"/>
          </w:rPr>
          <w:t>program</w:t>
        </w:r>
      </w:hyperlink>
      <w:r w:rsidRPr="00AD6335">
        <w:rPr>
          <w:rFonts w:ascii="Times New Roman" w:eastAsia="Arial Unicode MS" w:hAnsi="Times New Roman" w:cs="Times New Roman"/>
          <w:sz w:val="24"/>
          <w:szCs w:val="24"/>
        </w:rPr>
        <w:t xml:space="preserve"> from its initial stages of planning and designing and eventually into the implementation stages of the </w:t>
      </w:r>
      <w:hyperlink r:id="rId25" w:history="1">
        <w:r w:rsidRPr="00AD6335">
          <w:rPr>
            <w:rStyle w:val="Hyperlink"/>
            <w:rFonts w:ascii="Times New Roman" w:eastAsia="Arial Unicode MS" w:hAnsi="Times New Roman" w:cs="Times New Roman"/>
            <w:sz w:val="24"/>
            <w:szCs w:val="24"/>
          </w:rPr>
          <w:t>program</w:t>
        </w:r>
      </w:hyperlink>
      <w:r w:rsidRPr="00AD6335">
        <w:rPr>
          <w:rFonts w:ascii="Times New Roman" w:eastAsia="Arial Unicode MS" w:hAnsi="Times New Roman" w:cs="Times New Roman"/>
          <w:sz w:val="24"/>
          <w:szCs w:val="24"/>
        </w:rPr>
        <w:t>.</w:t>
      </w:r>
      <w:r w:rsidRPr="00AD6335">
        <w:rPr>
          <w:rStyle w:val="FootnoteReference"/>
          <w:rFonts w:ascii="Times New Roman" w:eastAsia="Arial Unicode MS" w:hAnsi="Times New Roman" w:cs="Times New Roman"/>
          <w:sz w:val="24"/>
          <w:szCs w:val="24"/>
        </w:rPr>
        <w:footnoteReference w:id="11"/>
      </w:r>
      <w:r w:rsidRPr="00AD6335">
        <w:rPr>
          <w:rFonts w:ascii="Times New Roman" w:eastAsia="Arial Unicode MS" w:hAnsi="Times New Roman" w:cs="Times New Roman"/>
          <w:sz w:val="24"/>
          <w:szCs w:val="24"/>
        </w:rPr>
        <w:t xml:space="preserve">  The independent a</w:t>
      </w:r>
      <w:r w:rsidR="001966D0">
        <w:rPr>
          <w:rFonts w:ascii="Times New Roman" w:eastAsia="Arial Unicode MS" w:hAnsi="Times New Roman" w:cs="Times New Roman"/>
          <w:sz w:val="24"/>
          <w:szCs w:val="24"/>
        </w:rPr>
        <w:t>ssessor was paid by the company,</w:t>
      </w:r>
      <w:r w:rsidRPr="00AD6335">
        <w:rPr>
          <w:rFonts w:ascii="Times New Roman" w:eastAsia="Arial Unicode MS" w:hAnsi="Times New Roman" w:cs="Times New Roman"/>
          <w:sz w:val="24"/>
          <w:szCs w:val="24"/>
        </w:rPr>
        <w:t xml:space="preserve"> thus</w:t>
      </w:r>
      <w:r w:rsidR="001966D0">
        <w:rPr>
          <w:rFonts w:ascii="Times New Roman" w:eastAsia="Arial Unicode MS" w:hAnsi="Times New Roman" w:cs="Times New Roman"/>
          <w:sz w:val="24"/>
          <w:szCs w:val="24"/>
        </w:rPr>
        <w:t>;</w:t>
      </w:r>
      <w:r w:rsidRPr="00AD6335">
        <w:rPr>
          <w:rFonts w:ascii="Times New Roman" w:eastAsia="Arial Unicode MS" w:hAnsi="Times New Roman" w:cs="Times New Roman"/>
          <w:sz w:val="24"/>
          <w:szCs w:val="24"/>
        </w:rPr>
        <w:t xml:space="preserve"> </w:t>
      </w:r>
      <w:r w:rsidR="00DE60B3">
        <w:rPr>
          <w:rFonts w:ascii="Times New Roman" w:eastAsia="Arial Unicode MS" w:hAnsi="Times New Roman" w:cs="Times New Roman"/>
          <w:sz w:val="24"/>
          <w:szCs w:val="24"/>
        </w:rPr>
        <w:t>most</w:t>
      </w:r>
      <w:r w:rsidRPr="00AD6335">
        <w:rPr>
          <w:rFonts w:ascii="Times New Roman" w:eastAsia="Arial Unicode MS" w:hAnsi="Times New Roman" w:cs="Times New Roman"/>
          <w:sz w:val="24"/>
          <w:szCs w:val="24"/>
        </w:rPr>
        <w:t xml:space="preserve"> of its report’s recommendation</w:t>
      </w:r>
      <w:r w:rsidR="001966D0">
        <w:rPr>
          <w:rFonts w:ascii="Times New Roman" w:eastAsia="Arial Unicode MS" w:hAnsi="Times New Roman" w:cs="Times New Roman"/>
          <w:sz w:val="24"/>
          <w:szCs w:val="24"/>
        </w:rPr>
        <w:t xml:space="preserve"> </w:t>
      </w:r>
      <w:r w:rsidRPr="00AD6335">
        <w:rPr>
          <w:rFonts w:ascii="Times New Roman" w:eastAsia="Arial Unicode MS" w:hAnsi="Times New Roman" w:cs="Times New Roman"/>
          <w:sz w:val="24"/>
          <w:szCs w:val="24"/>
        </w:rPr>
        <w:lastRenderedPageBreak/>
        <w:t>and finding</w:t>
      </w:r>
      <w:r w:rsidR="001966D0">
        <w:rPr>
          <w:rFonts w:ascii="Times New Roman" w:eastAsia="Arial Unicode MS" w:hAnsi="Times New Roman" w:cs="Times New Roman"/>
          <w:sz w:val="24"/>
          <w:szCs w:val="24"/>
        </w:rPr>
        <w:t>s</w:t>
      </w:r>
      <w:r w:rsidRPr="00AD6335">
        <w:rPr>
          <w:rFonts w:ascii="Times New Roman" w:eastAsia="Arial Unicode MS" w:hAnsi="Times New Roman" w:cs="Times New Roman"/>
          <w:sz w:val="24"/>
          <w:szCs w:val="24"/>
        </w:rPr>
        <w:t xml:space="preserve"> were biased and misleading. On the contrary, a few of its recommendations were acceptable to human rights norms and principles.</w:t>
      </w:r>
      <w:r w:rsidRPr="00AD6335">
        <w:rPr>
          <w:rStyle w:val="FootnoteReference"/>
          <w:rFonts w:ascii="Times New Roman" w:eastAsia="Arial Unicode MS" w:hAnsi="Times New Roman" w:cs="Times New Roman"/>
          <w:sz w:val="24"/>
          <w:szCs w:val="24"/>
        </w:rPr>
        <w:footnoteReference w:id="12"/>
      </w:r>
      <w:r w:rsidRPr="00AD6335">
        <w:rPr>
          <w:rFonts w:ascii="Times New Roman" w:eastAsia="Arial Unicode MS" w:hAnsi="Times New Roman" w:cs="Times New Roman"/>
          <w:sz w:val="24"/>
          <w:szCs w:val="24"/>
        </w:rPr>
        <w:t xml:space="preserve"> </w:t>
      </w:r>
    </w:p>
    <w:p w:rsidR="00DE60B3" w:rsidRPr="00AD6335" w:rsidRDefault="00DE60B3" w:rsidP="005D6440">
      <w:pPr>
        <w:pStyle w:val="NoSpacing"/>
        <w:jc w:val="both"/>
        <w:rPr>
          <w:rFonts w:ascii="Times New Roman" w:eastAsia="Arial Unicode MS" w:hAnsi="Times New Roman" w:cs="Times New Roman"/>
          <w:sz w:val="24"/>
          <w:szCs w:val="24"/>
        </w:rPr>
      </w:pPr>
    </w:p>
    <w:p w:rsidR="00AD6335" w:rsidRPr="00AD6335" w:rsidRDefault="00AD6335" w:rsidP="005D6440">
      <w:pPr>
        <w:pStyle w:val="NoSpacing"/>
        <w:jc w:val="both"/>
        <w:rPr>
          <w:rFonts w:ascii="Times New Roman" w:eastAsia="Arial Unicode MS" w:hAnsi="Times New Roman" w:cs="Times New Roman"/>
          <w:sz w:val="24"/>
          <w:szCs w:val="24"/>
        </w:rPr>
      </w:pPr>
      <w:r w:rsidRPr="00AD6335">
        <w:rPr>
          <w:rFonts w:ascii="Times New Roman" w:eastAsia="Arial Unicode MS" w:hAnsi="Times New Roman" w:cs="Times New Roman"/>
          <w:sz w:val="24"/>
          <w:szCs w:val="24"/>
        </w:rPr>
        <w:t xml:space="preserve">Soon after the completion of the </w:t>
      </w:r>
      <w:hyperlink r:id="rId26" w:history="1">
        <w:r w:rsidR="00EC03B2">
          <w:rPr>
            <w:rStyle w:val="Hyperlink"/>
            <w:rFonts w:ascii="Times New Roman" w:eastAsia="Arial Unicode MS" w:hAnsi="Times New Roman" w:cs="Times New Roman"/>
            <w:sz w:val="24"/>
            <w:szCs w:val="24"/>
          </w:rPr>
          <w:t xml:space="preserve">Pillar III: On the Ground </w:t>
        </w:r>
      </w:hyperlink>
      <w:r w:rsidR="005057F8">
        <w:rPr>
          <w:rStyle w:val="FootnoteReference"/>
          <w:rFonts w:ascii="Times New Roman" w:eastAsia="Arial Unicode MS" w:hAnsi="Times New Roman" w:cs="Times New Roman"/>
          <w:sz w:val="24"/>
          <w:szCs w:val="24"/>
        </w:rPr>
        <w:footnoteReference w:id="13"/>
      </w:r>
      <w:r w:rsidR="00EC03B2">
        <w:rPr>
          <w:rFonts w:ascii="Times New Roman" w:eastAsia="Arial Unicode MS" w:hAnsi="Times New Roman" w:cs="Times New Roman"/>
          <w:sz w:val="24"/>
          <w:szCs w:val="24"/>
        </w:rPr>
        <w:t xml:space="preserve">, </w:t>
      </w:r>
      <w:r w:rsidRPr="00AD6335">
        <w:rPr>
          <w:rFonts w:ascii="Times New Roman" w:eastAsia="Arial Unicode MS" w:hAnsi="Times New Roman" w:cs="Times New Roman"/>
          <w:sz w:val="24"/>
          <w:szCs w:val="24"/>
        </w:rPr>
        <w:t xml:space="preserve"> the ATA has used the existing operational grievance mechanism (OGM) at the PJV Mine Site to lodge other unsettled allegatio</w:t>
      </w:r>
      <w:r w:rsidR="001966D0">
        <w:rPr>
          <w:rFonts w:ascii="Times New Roman" w:eastAsia="Arial Unicode MS" w:hAnsi="Times New Roman" w:cs="Times New Roman"/>
          <w:sz w:val="24"/>
          <w:szCs w:val="24"/>
        </w:rPr>
        <w:t>ns of human rights abuse allegations</w:t>
      </w:r>
      <w:r w:rsidRPr="00AD6335">
        <w:rPr>
          <w:rFonts w:ascii="Times New Roman" w:eastAsia="Arial Unicode MS" w:hAnsi="Times New Roman" w:cs="Times New Roman"/>
          <w:sz w:val="24"/>
          <w:szCs w:val="24"/>
        </w:rPr>
        <w:t xml:space="preserve"> together with some missed out women sexual victims</w:t>
      </w:r>
      <w:r w:rsidR="001966D0">
        <w:rPr>
          <w:rFonts w:ascii="Times New Roman" w:eastAsia="Arial Unicode MS" w:hAnsi="Times New Roman" w:cs="Times New Roman"/>
          <w:sz w:val="24"/>
          <w:szCs w:val="24"/>
        </w:rPr>
        <w:t>’ allegations</w:t>
      </w:r>
      <w:r w:rsidRPr="00AD6335">
        <w:rPr>
          <w:rFonts w:ascii="Times New Roman" w:eastAsia="Arial Unicode MS" w:hAnsi="Times New Roman" w:cs="Times New Roman"/>
          <w:sz w:val="24"/>
          <w:szCs w:val="24"/>
        </w:rPr>
        <w:t>. Upon receipt of the ATA’s allegations, the company has issued the ATA with a grievance acknowledgement number.</w:t>
      </w:r>
      <w:r w:rsidRPr="00AD6335">
        <w:rPr>
          <w:rStyle w:val="FootnoteReference"/>
          <w:rFonts w:ascii="Times New Roman" w:eastAsia="Arial Unicode MS" w:hAnsi="Times New Roman" w:cs="Times New Roman"/>
          <w:sz w:val="24"/>
          <w:szCs w:val="24"/>
        </w:rPr>
        <w:footnoteReference w:id="14"/>
      </w:r>
      <w:r w:rsidRPr="00AD6335">
        <w:rPr>
          <w:rFonts w:ascii="Times New Roman" w:eastAsia="Arial Unicode MS" w:hAnsi="Times New Roman" w:cs="Times New Roman"/>
          <w:sz w:val="24"/>
          <w:szCs w:val="24"/>
        </w:rPr>
        <w:t xml:space="preserve"> Within a week, the </w:t>
      </w:r>
      <w:r w:rsidR="001966D0">
        <w:rPr>
          <w:rFonts w:ascii="Times New Roman" w:eastAsia="Arial Unicode MS" w:hAnsi="Times New Roman" w:cs="Times New Roman"/>
          <w:sz w:val="24"/>
          <w:szCs w:val="24"/>
        </w:rPr>
        <w:t>Barrick and the BNL</w:t>
      </w:r>
      <w:r w:rsidRPr="00AD6335">
        <w:rPr>
          <w:rFonts w:ascii="Times New Roman" w:eastAsia="Arial Unicode MS" w:hAnsi="Times New Roman" w:cs="Times New Roman"/>
          <w:sz w:val="24"/>
          <w:szCs w:val="24"/>
        </w:rPr>
        <w:t xml:space="preserve"> wrote to ATA to submit the claimants or the victims consents verifying whether </w:t>
      </w:r>
      <w:r w:rsidR="00DE60B3">
        <w:rPr>
          <w:rFonts w:ascii="Times New Roman" w:eastAsia="Arial Unicode MS" w:hAnsi="Times New Roman" w:cs="Times New Roman"/>
          <w:sz w:val="24"/>
          <w:szCs w:val="24"/>
        </w:rPr>
        <w:t xml:space="preserve">or not </w:t>
      </w:r>
      <w:r w:rsidRPr="00AD6335">
        <w:rPr>
          <w:rFonts w:ascii="Times New Roman" w:eastAsia="Arial Unicode MS" w:hAnsi="Times New Roman" w:cs="Times New Roman"/>
          <w:sz w:val="24"/>
          <w:szCs w:val="24"/>
        </w:rPr>
        <w:t xml:space="preserve">ATA was bestowed the powers to act for and on behalf of the victims </w:t>
      </w:r>
      <w:r w:rsidR="00DE60B3">
        <w:rPr>
          <w:rFonts w:ascii="Times New Roman" w:eastAsia="Arial Unicode MS" w:hAnsi="Times New Roman" w:cs="Times New Roman"/>
          <w:sz w:val="24"/>
          <w:szCs w:val="24"/>
        </w:rPr>
        <w:t>to</w:t>
      </w:r>
      <w:r w:rsidRPr="00AD6335">
        <w:rPr>
          <w:rFonts w:ascii="Times New Roman" w:eastAsia="Arial Unicode MS" w:hAnsi="Times New Roman" w:cs="Times New Roman"/>
          <w:sz w:val="24"/>
          <w:szCs w:val="24"/>
        </w:rPr>
        <w:t xml:space="preserve"> pursue the claims on their behalf. ATA then submitted the victims’ and their custodians’ consent through a signed and sealed Delegation of Authority pursuant to the </w:t>
      </w:r>
      <w:r w:rsidR="00802C8C">
        <w:rPr>
          <w:rFonts w:ascii="Times New Roman" w:eastAsia="Arial Unicode MS" w:hAnsi="Times New Roman" w:cs="Times New Roman"/>
          <w:sz w:val="24"/>
          <w:szCs w:val="24"/>
        </w:rPr>
        <w:t xml:space="preserve">1968 </w:t>
      </w:r>
      <w:r w:rsidRPr="00AD6335">
        <w:rPr>
          <w:rFonts w:ascii="Times New Roman" w:eastAsia="Arial Unicode MS" w:hAnsi="Times New Roman" w:cs="Times New Roman"/>
          <w:sz w:val="24"/>
          <w:szCs w:val="24"/>
        </w:rPr>
        <w:t xml:space="preserve">Statutory Declarations Acts of the Independent State of Papua New Guinea. Since then, the company had become </w:t>
      </w:r>
      <w:r w:rsidR="00802C8C">
        <w:rPr>
          <w:rFonts w:ascii="Times New Roman" w:eastAsia="Arial Unicode MS" w:hAnsi="Times New Roman" w:cs="Times New Roman"/>
          <w:sz w:val="24"/>
          <w:szCs w:val="24"/>
        </w:rPr>
        <w:t xml:space="preserve">too </w:t>
      </w:r>
      <w:r w:rsidRPr="00AD6335">
        <w:rPr>
          <w:rFonts w:ascii="Times New Roman" w:eastAsia="Arial Unicode MS" w:hAnsi="Times New Roman" w:cs="Times New Roman"/>
          <w:sz w:val="24"/>
          <w:szCs w:val="24"/>
        </w:rPr>
        <w:t xml:space="preserve">ignorant despite several attempts been made to get response from their end. </w:t>
      </w:r>
    </w:p>
    <w:p w:rsidR="00AD6335" w:rsidRPr="00AD6335" w:rsidRDefault="00AD6335" w:rsidP="005D6440">
      <w:pPr>
        <w:pStyle w:val="NoSpacing"/>
        <w:jc w:val="both"/>
        <w:rPr>
          <w:rFonts w:ascii="Times New Roman" w:eastAsia="Arial Unicode MS" w:hAnsi="Times New Roman" w:cs="Times New Roman"/>
          <w:sz w:val="24"/>
          <w:szCs w:val="24"/>
        </w:rPr>
      </w:pPr>
    </w:p>
    <w:p w:rsidR="00AD6335" w:rsidRPr="00AD6335" w:rsidRDefault="00AD6335" w:rsidP="005D6440">
      <w:pPr>
        <w:pStyle w:val="NoSpacing"/>
        <w:jc w:val="both"/>
        <w:rPr>
          <w:rFonts w:ascii="Times New Roman" w:eastAsia="Arial Unicode MS" w:hAnsi="Times New Roman" w:cs="Times New Roman"/>
          <w:sz w:val="24"/>
          <w:szCs w:val="24"/>
        </w:rPr>
      </w:pPr>
      <w:r w:rsidRPr="00AD6335">
        <w:rPr>
          <w:rFonts w:ascii="Times New Roman" w:eastAsia="Arial Unicode MS" w:hAnsi="Times New Roman" w:cs="Times New Roman"/>
          <w:sz w:val="24"/>
          <w:szCs w:val="24"/>
        </w:rPr>
        <w:t>Knowing that company will once again be negligent to respond to the ATA’s claims and allegations lodged, the ATA has staged a peaceful protest where the news of this peaceful protest heated headlines in international Medias.</w:t>
      </w:r>
      <w:r w:rsidRPr="00AD6335">
        <w:rPr>
          <w:rStyle w:val="FootnoteReference"/>
          <w:rFonts w:ascii="Times New Roman" w:eastAsia="Arial Unicode MS" w:hAnsi="Times New Roman" w:cs="Times New Roman"/>
          <w:sz w:val="24"/>
          <w:szCs w:val="24"/>
        </w:rPr>
        <w:footnoteReference w:id="15"/>
      </w:r>
      <w:r w:rsidRPr="00AD6335">
        <w:rPr>
          <w:rFonts w:ascii="Times New Roman" w:eastAsia="Arial Unicode MS" w:hAnsi="Times New Roman" w:cs="Times New Roman"/>
          <w:sz w:val="24"/>
          <w:szCs w:val="24"/>
        </w:rPr>
        <w:t xml:space="preserve"> The Barrick than responded and admitted that its existing OGM at the PJV Mine Sit</w:t>
      </w:r>
      <w:r w:rsidR="00802C8C">
        <w:rPr>
          <w:rFonts w:ascii="Times New Roman" w:eastAsia="Arial Unicode MS" w:hAnsi="Times New Roman" w:cs="Times New Roman"/>
          <w:sz w:val="24"/>
          <w:szCs w:val="24"/>
        </w:rPr>
        <w:t xml:space="preserve">e does not have the capacity </w:t>
      </w:r>
      <w:r w:rsidRPr="00AD6335">
        <w:rPr>
          <w:rFonts w:ascii="Times New Roman" w:eastAsia="Arial Unicode MS" w:hAnsi="Times New Roman" w:cs="Times New Roman"/>
          <w:sz w:val="24"/>
          <w:szCs w:val="24"/>
        </w:rPr>
        <w:t>to process, assess and evaluate such gross human rights violation issues.</w:t>
      </w:r>
      <w:r w:rsidRPr="00AD6335">
        <w:rPr>
          <w:rStyle w:val="FootnoteReference"/>
          <w:rFonts w:ascii="Times New Roman" w:eastAsia="Arial Unicode MS" w:hAnsi="Times New Roman" w:cs="Times New Roman"/>
          <w:sz w:val="24"/>
          <w:szCs w:val="24"/>
        </w:rPr>
        <w:footnoteReference w:id="16"/>
      </w:r>
      <w:r w:rsidRPr="00AD6335">
        <w:rPr>
          <w:rFonts w:ascii="Times New Roman" w:eastAsia="Arial Unicode MS" w:hAnsi="Times New Roman" w:cs="Times New Roman"/>
          <w:sz w:val="24"/>
          <w:szCs w:val="24"/>
        </w:rPr>
        <w:t xml:space="preserve"> As such, the company has also assured the ATA that it will engage an independent consultant </w:t>
      </w:r>
      <w:r w:rsidR="00956329">
        <w:rPr>
          <w:rFonts w:ascii="Times New Roman" w:eastAsia="Arial Unicode MS" w:hAnsi="Times New Roman" w:cs="Times New Roman"/>
          <w:sz w:val="24"/>
          <w:szCs w:val="24"/>
        </w:rPr>
        <w:t xml:space="preserve">firm </w:t>
      </w:r>
      <w:r w:rsidRPr="00AD6335">
        <w:rPr>
          <w:rFonts w:ascii="Times New Roman" w:eastAsia="Arial Unicode MS" w:hAnsi="Times New Roman" w:cs="Times New Roman"/>
          <w:sz w:val="24"/>
          <w:szCs w:val="24"/>
        </w:rPr>
        <w:t xml:space="preserve">to find ways to provide remedies to the victims of the operations of the Porgera Gold Mine Project.  </w:t>
      </w:r>
    </w:p>
    <w:p w:rsidR="00AD6335" w:rsidRPr="00AD6335" w:rsidRDefault="00AD6335" w:rsidP="005D6440">
      <w:pPr>
        <w:pStyle w:val="NoSpacing"/>
        <w:jc w:val="both"/>
        <w:rPr>
          <w:rFonts w:ascii="Times New Roman" w:eastAsia="Arial Unicode MS" w:hAnsi="Times New Roman" w:cs="Times New Roman"/>
          <w:sz w:val="24"/>
          <w:szCs w:val="24"/>
        </w:rPr>
      </w:pPr>
    </w:p>
    <w:p w:rsidR="00AD6335" w:rsidRPr="00AD6335" w:rsidRDefault="00AD6335" w:rsidP="005D6440">
      <w:pPr>
        <w:pStyle w:val="NoSpacing"/>
        <w:jc w:val="both"/>
        <w:rPr>
          <w:rFonts w:ascii="Times New Roman" w:eastAsia="Arial Unicode MS" w:hAnsi="Times New Roman" w:cs="Times New Roman"/>
          <w:sz w:val="24"/>
          <w:szCs w:val="24"/>
        </w:rPr>
      </w:pPr>
      <w:r w:rsidRPr="00AD6335">
        <w:rPr>
          <w:rFonts w:ascii="Times New Roman" w:eastAsia="Arial Unicode MS" w:hAnsi="Times New Roman" w:cs="Times New Roman"/>
          <w:sz w:val="24"/>
          <w:szCs w:val="24"/>
        </w:rPr>
        <w:t xml:space="preserve">In September 2017, the </w:t>
      </w:r>
      <w:r w:rsidRPr="00AD6335">
        <w:rPr>
          <w:rStyle w:val="Hyperlink"/>
          <w:rFonts w:ascii="Times New Roman" w:eastAsia="Arial Unicode MS" w:hAnsi="Times New Roman" w:cs="Times New Roman"/>
          <w:sz w:val="24"/>
          <w:szCs w:val="24"/>
        </w:rPr>
        <w:t xml:space="preserve">  </w:t>
      </w:r>
      <w:hyperlink w:history="1">
        <w:r w:rsidRPr="00AD6335">
          <w:rPr>
            <w:rStyle w:val="Hyperlink"/>
            <w:rFonts w:ascii="Times New Roman" w:eastAsia="Arial Unicode MS" w:hAnsi="Times New Roman" w:cs="Times New Roman"/>
            <w:sz w:val="24"/>
            <w:szCs w:val="24"/>
          </w:rPr>
          <w:t>Business and Social Responsibilities</w:t>
        </w:r>
      </w:hyperlink>
      <w:r w:rsidRPr="00AD6335">
        <w:rPr>
          <w:rFonts w:ascii="Times New Roman" w:eastAsia="Arial Unicode MS" w:hAnsi="Times New Roman" w:cs="Times New Roman"/>
          <w:sz w:val="24"/>
          <w:szCs w:val="24"/>
        </w:rPr>
        <w:t xml:space="preserve">, (BSR) an NGO based in the US which is specialized in providing </w:t>
      </w:r>
      <w:r w:rsidR="00956329">
        <w:rPr>
          <w:rFonts w:ascii="Times New Roman" w:eastAsia="Arial Unicode MS" w:hAnsi="Times New Roman" w:cs="Times New Roman"/>
          <w:sz w:val="24"/>
          <w:szCs w:val="24"/>
        </w:rPr>
        <w:t>expert</w:t>
      </w:r>
      <w:r w:rsidRPr="00AD6335">
        <w:rPr>
          <w:rFonts w:ascii="Times New Roman" w:eastAsia="Arial Unicode MS" w:hAnsi="Times New Roman" w:cs="Times New Roman"/>
          <w:sz w:val="24"/>
          <w:szCs w:val="24"/>
        </w:rPr>
        <w:t xml:space="preserve"> advises to multinational corporation in relations to business and human rights was engaged by Barrick to find possible pathways for Barrick to provide remedies to its victims. After lengthy discussions and fact-finding investigations by the Team BSR, they had published their </w:t>
      </w:r>
      <w:hyperlink r:id="rId27" w:history="1">
        <w:r w:rsidRPr="00AD6335">
          <w:rPr>
            <w:rStyle w:val="Hyperlink"/>
            <w:rFonts w:ascii="Times New Roman" w:eastAsia="Arial Unicode MS" w:hAnsi="Times New Roman" w:cs="Times New Roman"/>
            <w:sz w:val="24"/>
            <w:szCs w:val="24"/>
          </w:rPr>
          <w:t>Report</w:t>
        </w:r>
      </w:hyperlink>
      <w:r w:rsidRPr="00AD6335">
        <w:rPr>
          <w:rFonts w:ascii="Times New Roman" w:eastAsia="Arial Unicode MS" w:hAnsi="Times New Roman" w:cs="Times New Roman"/>
          <w:sz w:val="24"/>
          <w:szCs w:val="24"/>
        </w:rPr>
        <w:t xml:space="preserve">, titled </w:t>
      </w:r>
      <w:hyperlink r:id="rId28" w:history="1">
        <w:r w:rsidRPr="00AD6335">
          <w:rPr>
            <w:rStyle w:val="Hyperlink"/>
            <w:rFonts w:ascii="Times New Roman" w:eastAsia="Arial Unicode MS" w:hAnsi="Times New Roman" w:cs="Times New Roman"/>
            <w:sz w:val="24"/>
            <w:szCs w:val="24"/>
          </w:rPr>
          <w:t xml:space="preserve">In Search of Justice – Pathways to </w:t>
        </w:r>
        <w:proofErr w:type="gramStart"/>
        <w:r w:rsidRPr="00AD6335">
          <w:rPr>
            <w:rStyle w:val="Hyperlink"/>
            <w:rFonts w:ascii="Times New Roman" w:eastAsia="Arial Unicode MS" w:hAnsi="Times New Roman" w:cs="Times New Roman"/>
            <w:sz w:val="24"/>
            <w:szCs w:val="24"/>
          </w:rPr>
          <w:t>Remedy</w:t>
        </w:r>
        <w:proofErr w:type="gramEnd"/>
        <w:r w:rsidRPr="00AD6335">
          <w:rPr>
            <w:rStyle w:val="Hyperlink"/>
            <w:rFonts w:ascii="Times New Roman" w:eastAsia="Arial Unicode MS" w:hAnsi="Times New Roman" w:cs="Times New Roman"/>
            <w:sz w:val="24"/>
            <w:szCs w:val="24"/>
          </w:rPr>
          <w:t xml:space="preserve"> at the Porgera Gold Mine</w:t>
        </w:r>
      </w:hyperlink>
      <w:r w:rsidRPr="00AD6335">
        <w:rPr>
          <w:rFonts w:ascii="Times New Roman" w:eastAsia="Arial Unicode MS" w:hAnsi="Times New Roman" w:cs="Times New Roman"/>
          <w:sz w:val="24"/>
          <w:szCs w:val="24"/>
        </w:rPr>
        <w:t xml:space="preserve"> in September, 2018.</w:t>
      </w:r>
      <w:r w:rsidRPr="00AD6335">
        <w:rPr>
          <w:rStyle w:val="FootnoteReference"/>
          <w:rFonts w:ascii="Times New Roman" w:eastAsia="Arial Unicode MS" w:hAnsi="Times New Roman" w:cs="Times New Roman"/>
          <w:sz w:val="24"/>
          <w:szCs w:val="24"/>
        </w:rPr>
        <w:footnoteReference w:id="17"/>
      </w:r>
      <w:r w:rsidRPr="00AD6335">
        <w:rPr>
          <w:rFonts w:ascii="Times New Roman" w:eastAsia="Arial Unicode MS" w:hAnsi="Times New Roman" w:cs="Times New Roman"/>
          <w:sz w:val="24"/>
          <w:szCs w:val="24"/>
        </w:rPr>
        <w:t xml:space="preserve"> In their </w:t>
      </w:r>
      <w:hyperlink r:id="rId29" w:history="1">
        <w:r w:rsidRPr="00AD6335">
          <w:rPr>
            <w:rStyle w:val="Hyperlink"/>
            <w:rFonts w:ascii="Times New Roman" w:eastAsia="Arial Unicode MS" w:hAnsi="Times New Roman" w:cs="Times New Roman"/>
            <w:sz w:val="24"/>
            <w:szCs w:val="24"/>
          </w:rPr>
          <w:t>Report</w:t>
        </w:r>
      </w:hyperlink>
      <w:r w:rsidRPr="00AD6335">
        <w:rPr>
          <w:rFonts w:ascii="Times New Roman" w:eastAsia="Arial Unicode MS" w:hAnsi="Times New Roman" w:cs="Times New Roman"/>
          <w:sz w:val="24"/>
          <w:szCs w:val="24"/>
        </w:rPr>
        <w:t xml:space="preserve">, the Team BSR has identified 940 backlogged cases from the </w:t>
      </w:r>
      <w:r w:rsidR="00956329">
        <w:rPr>
          <w:rFonts w:ascii="Times New Roman" w:eastAsia="Arial Unicode MS" w:hAnsi="Times New Roman" w:cs="Times New Roman"/>
          <w:sz w:val="24"/>
          <w:szCs w:val="24"/>
        </w:rPr>
        <w:t xml:space="preserve">company’s </w:t>
      </w:r>
      <w:r w:rsidR="00956329">
        <w:rPr>
          <w:rFonts w:ascii="Times New Roman" w:eastAsia="Arial Unicode MS" w:hAnsi="Times New Roman" w:cs="Times New Roman"/>
          <w:b/>
          <w:sz w:val="24"/>
          <w:szCs w:val="24"/>
        </w:rPr>
        <w:t xml:space="preserve">black-hole </w:t>
      </w:r>
      <w:r w:rsidR="00802C8C">
        <w:rPr>
          <w:rFonts w:ascii="Times New Roman" w:eastAsia="Arial Unicode MS" w:hAnsi="Times New Roman" w:cs="Times New Roman"/>
          <w:sz w:val="24"/>
          <w:szCs w:val="24"/>
        </w:rPr>
        <w:t>OGM</w:t>
      </w:r>
      <w:r w:rsidRPr="00AD6335">
        <w:rPr>
          <w:rFonts w:ascii="Times New Roman" w:eastAsia="Arial Unicode MS" w:hAnsi="Times New Roman" w:cs="Times New Roman"/>
          <w:sz w:val="24"/>
          <w:szCs w:val="24"/>
        </w:rPr>
        <w:t xml:space="preserve">.   </w:t>
      </w:r>
    </w:p>
    <w:p w:rsidR="00AD6335" w:rsidRPr="00AD6335" w:rsidRDefault="00AD6335" w:rsidP="005D6440">
      <w:pPr>
        <w:pStyle w:val="NoSpacing"/>
        <w:jc w:val="both"/>
        <w:rPr>
          <w:rFonts w:ascii="Times New Roman" w:eastAsia="Arial Unicode MS" w:hAnsi="Times New Roman" w:cs="Times New Roman"/>
          <w:sz w:val="24"/>
          <w:szCs w:val="24"/>
        </w:rPr>
      </w:pPr>
    </w:p>
    <w:p w:rsidR="00AD6335" w:rsidRDefault="00C07FD4" w:rsidP="005D6440">
      <w:pPr>
        <w:pStyle w:val="NoSpacing"/>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According</w:t>
      </w:r>
      <w:r w:rsidR="00AD6335" w:rsidRPr="00AD6335">
        <w:rPr>
          <w:rFonts w:ascii="Times New Roman" w:eastAsia="Arial Unicode MS" w:hAnsi="Times New Roman" w:cs="Times New Roman"/>
          <w:sz w:val="24"/>
          <w:szCs w:val="24"/>
        </w:rPr>
        <w:t xml:space="preserve"> to the BSR </w:t>
      </w:r>
      <w:hyperlink r:id="rId30" w:history="1">
        <w:r w:rsidR="00AD6335" w:rsidRPr="00AD6335">
          <w:rPr>
            <w:rStyle w:val="Hyperlink"/>
            <w:rFonts w:ascii="Times New Roman" w:eastAsia="Arial Unicode MS" w:hAnsi="Times New Roman" w:cs="Times New Roman"/>
            <w:sz w:val="24"/>
            <w:szCs w:val="24"/>
          </w:rPr>
          <w:t>Report</w:t>
        </w:r>
      </w:hyperlink>
      <w:r w:rsidR="00AD6335" w:rsidRPr="00AD6335">
        <w:rPr>
          <w:rFonts w:ascii="Times New Roman" w:eastAsia="Arial Unicode MS" w:hAnsi="Times New Roman" w:cs="Times New Roman"/>
          <w:sz w:val="24"/>
          <w:szCs w:val="24"/>
        </w:rPr>
        <w:t>’s recommendations, Barrick was given a month to draft its Company Action Plan (CAP)</w:t>
      </w:r>
      <w:r>
        <w:rPr>
          <w:rFonts w:ascii="Times New Roman" w:eastAsia="Arial Unicode MS" w:hAnsi="Times New Roman" w:cs="Times New Roman"/>
          <w:sz w:val="24"/>
          <w:szCs w:val="24"/>
        </w:rPr>
        <w:t>. It was also recommended that the company shall submit its CAP</w:t>
      </w:r>
      <w:r w:rsidR="00AD6335" w:rsidRPr="00AD6335">
        <w:rPr>
          <w:rFonts w:ascii="Times New Roman" w:eastAsia="Arial Unicode MS" w:hAnsi="Times New Roman" w:cs="Times New Roman"/>
          <w:sz w:val="24"/>
          <w:szCs w:val="24"/>
        </w:rPr>
        <w:t xml:space="preserve"> to the ATA </w:t>
      </w:r>
      <w:r>
        <w:rPr>
          <w:rFonts w:ascii="Times New Roman" w:eastAsia="Arial Unicode MS" w:hAnsi="Times New Roman" w:cs="Times New Roman"/>
          <w:sz w:val="24"/>
          <w:szCs w:val="24"/>
        </w:rPr>
        <w:t xml:space="preserve">for ATA </w:t>
      </w:r>
      <w:r w:rsidR="00AD6335" w:rsidRPr="00AD6335">
        <w:rPr>
          <w:rFonts w:ascii="Times New Roman" w:eastAsia="Arial Unicode MS" w:hAnsi="Times New Roman" w:cs="Times New Roman"/>
          <w:sz w:val="24"/>
          <w:szCs w:val="24"/>
        </w:rPr>
        <w:t>to review prior to implementation</w:t>
      </w:r>
      <w:r>
        <w:rPr>
          <w:rFonts w:ascii="Times New Roman" w:eastAsia="Arial Unicode MS" w:hAnsi="Times New Roman" w:cs="Times New Roman"/>
          <w:sz w:val="24"/>
          <w:szCs w:val="24"/>
        </w:rPr>
        <w:t xml:space="preserve"> of the CAP</w:t>
      </w:r>
      <w:r w:rsidR="00AD6335" w:rsidRPr="00AD6335">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In adhering to the </w:t>
      </w:r>
      <w:hyperlink r:id="rId31" w:history="1">
        <w:r w:rsidRPr="00AD6335">
          <w:rPr>
            <w:rStyle w:val="Hyperlink"/>
            <w:rFonts w:ascii="Times New Roman" w:eastAsia="Arial Unicode MS" w:hAnsi="Times New Roman" w:cs="Times New Roman"/>
            <w:sz w:val="24"/>
            <w:szCs w:val="24"/>
          </w:rPr>
          <w:t>Report</w:t>
        </w:r>
      </w:hyperlink>
      <w:r>
        <w:rPr>
          <w:rStyle w:val="Hyperlink"/>
          <w:rFonts w:ascii="Times New Roman" w:eastAsia="Arial Unicode MS" w:hAnsi="Times New Roman" w:cs="Times New Roman"/>
          <w:sz w:val="24"/>
          <w:szCs w:val="24"/>
        </w:rPr>
        <w:t xml:space="preserve">’s </w:t>
      </w:r>
      <w:r>
        <w:rPr>
          <w:rFonts w:ascii="Times New Roman" w:eastAsia="Arial Unicode MS" w:hAnsi="Times New Roman" w:cs="Times New Roman"/>
          <w:sz w:val="24"/>
          <w:szCs w:val="24"/>
        </w:rPr>
        <w:t>recommendation, A</w:t>
      </w:r>
      <w:r w:rsidR="00AD6335" w:rsidRPr="00AD6335">
        <w:rPr>
          <w:rFonts w:ascii="Times New Roman" w:eastAsia="Arial Unicode MS" w:hAnsi="Times New Roman" w:cs="Times New Roman"/>
          <w:sz w:val="24"/>
          <w:szCs w:val="24"/>
        </w:rPr>
        <w:t xml:space="preserve">TA was invited to meet with the Barrick at Port Moresby in </w:t>
      </w:r>
      <w:r w:rsidR="00AD6335" w:rsidRPr="00AD6335">
        <w:rPr>
          <w:rFonts w:ascii="Times New Roman" w:eastAsia="Arial Unicode MS" w:hAnsi="Times New Roman" w:cs="Times New Roman"/>
          <w:sz w:val="24"/>
          <w:szCs w:val="24"/>
        </w:rPr>
        <w:lastRenderedPageBreak/>
        <w:t>November, 2018, however; that meeting was cancelled due to reasons known only to the company.</w:t>
      </w:r>
      <w:r w:rsidR="00AD6335" w:rsidRPr="00AD6335">
        <w:rPr>
          <w:rStyle w:val="FootnoteReference"/>
          <w:rFonts w:ascii="Times New Roman" w:eastAsia="Arial Unicode MS" w:hAnsi="Times New Roman" w:cs="Times New Roman"/>
          <w:sz w:val="24"/>
          <w:szCs w:val="24"/>
        </w:rPr>
        <w:footnoteReference w:id="18"/>
      </w:r>
    </w:p>
    <w:p w:rsidR="00956329" w:rsidRPr="00AD6335" w:rsidRDefault="00956329" w:rsidP="005D6440">
      <w:pPr>
        <w:pStyle w:val="NoSpacing"/>
        <w:jc w:val="both"/>
        <w:rPr>
          <w:rFonts w:ascii="Times New Roman" w:eastAsia="Arial Unicode MS" w:hAnsi="Times New Roman" w:cs="Times New Roman"/>
          <w:sz w:val="24"/>
          <w:szCs w:val="24"/>
        </w:rPr>
      </w:pPr>
    </w:p>
    <w:p w:rsidR="00AD6335" w:rsidRPr="00AD6335" w:rsidRDefault="00AD6335" w:rsidP="005D6440">
      <w:pPr>
        <w:pStyle w:val="NoSpacing"/>
        <w:jc w:val="both"/>
        <w:rPr>
          <w:rFonts w:ascii="Times New Roman" w:eastAsia="Arial Unicode MS" w:hAnsi="Times New Roman" w:cs="Times New Roman"/>
          <w:sz w:val="24"/>
          <w:szCs w:val="24"/>
        </w:rPr>
      </w:pPr>
      <w:r w:rsidRPr="00AD6335">
        <w:rPr>
          <w:rFonts w:ascii="Times New Roman" w:eastAsia="Arial Unicode MS" w:hAnsi="Times New Roman" w:cs="Times New Roman"/>
          <w:sz w:val="24"/>
          <w:szCs w:val="24"/>
        </w:rPr>
        <w:t>ATA has followed up requesting the Barrick to reschedule the meeting, however; it has fallen on deaf ears. To date, there has never been any response from the Barrick and the ATA is really concerned whether or not the company is going to set-up the remedy mechanism as recommended by</w:t>
      </w:r>
      <w:r w:rsidR="00C07FD4">
        <w:rPr>
          <w:rFonts w:ascii="Times New Roman" w:eastAsia="Arial Unicode MS" w:hAnsi="Times New Roman" w:cs="Times New Roman"/>
          <w:sz w:val="24"/>
          <w:szCs w:val="24"/>
        </w:rPr>
        <w:t xml:space="preserve"> the </w:t>
      </w:r>
      <w:hyperlink r:id="rId32" w:history="1">
        <w:r w:rsidR="00956329">
          <w:rPr>
            <w:rStyle w:val="Hyperlink"/>
            <w:rFonts w:ascii="Times New Roman" w:hAnsi="Times New Roman" w:cs="Times New Roman"/>
            <w:b/>
            <w:sz w:val="24"/>
            <w:szCs w:val="24"/>
          </w:rPr>
          <w:t>Report</w:t>
        </w:r>
      </w:hyperlink>
      <w:r w:rsidRPr="00AD6335">
        <w:rPr>
          <w:rFonts w:ascii="Times New Roman" w:eastAsia="Arial Unicode MS" w:hAnsi="Times New Roman" w:cs="Times New Roman"/>
          <w:sz w:val="24"/>
          <w:szCs w:val="24"/>
        </w:rPr>
        <w:t xml:space="preserve"> as the Porgera Gold Mine Project’s Mine Development Contract will expire come May, 2019.</w:t>
      </w:r>
    </w:p>
    <w:p w:rsidR="00AD6335" w:rsidRPr="00AD6335" w:rsidRDefault="00AD6335" w:rsidP="005D6440">
      <w:pPr>
        <w:pStyle w:val="NoSpacing"/>
        <w:jc w:val="both"/>
        <w:rPr>
          <w:rFonts w:ascii="Times New Roman" w:eastAsia="Arial Unicode MS" w:hAnsi="Times New Roman" w:cs="Times New Roman"/>
          <w:sz w:val="24"/>
          <w:szCs w:val="24"/>
        </w:rPr>
      </w:pPr>
    </w:p>
    <w:p w:rsidR="00FD3BA5" w:rsidRDefault="00AD6335" w:rsidP="005D6440">
      <w:pPr>
        <w:pStyle w:val="NoSpacing"/>
        <w:jc w:val="both"/>
        <w:rPr>
          <w:rFonts w:ascii="Times New Roman" w:eastAsia="Arial Unicode MS" w:hAnsi="Times New Roman" w:cs="Times New Roman"/>
          <w:sz w:val="24"/>
          <w:szCs w:val="24"/>
        </w:rPr>
      </w:pPr>
      <w:r w:rsidRPr="00AD6335">
        <w:rPr>
          <w:rFonts w:ascii="Times New Roman" w:eastAsia="Arial Unicode MS" w:hAnsi="Times New Roman" w:cs="Times New Roman"/>
          <w:sz w:val="24"/>
          <w:szCs w:val="24"/>
        </w:rPr>
        <w:t xml:space="preserve">This inadvertently implies that Barrick is about to forfeit all human rights claims if it’s mining lease expires in </w:t>
      </w:r>
      <w:r w:rsidR="00FD3BA5">
        <w:rPr>
          <w:rFonts w:ascii="Times New Roman" w:eastAsia="Arial Unicode MS" w:hAnsi="Times New Roman" w:cs="Times New Roman"/>
          <w:sz w:val="24"/>
          <w:szCs w:val="24"/>
        </w:rPr>
        <w:t>May,</w:t>
      </w:r>
      <w:r w:rsidRPr="00AD6335">
        <w:rPr>
          <w:rFonts w:ascii="Times New Roman" w:eastAsia="Arial Unicode MS" w:hAnsi="Times New Roman" w:cs="Times New Roman"/>
          <w:sz w:val="24"/>
          <w:szCs w:val="24"/>
        </w:rPr>
        <w:t xml:space="preserve"> 2019. This will be unbecoming of a giant Corporation who</w:t>
      </w:r>
      <w:r w:rsidR="00FD3BA5">
        <w:rPr>
          <w:rFonts w:ascii="Times New Roman" w:eastAsia="Arial Unicode MS" w:hAnsi="Times New Roman" w:cs="Times New Roman"/>
          <w:sz w:val="24"/>
          <w:szCs w:val="24"/>
        </w:rPr>
        <w:t xml:space="preserve"> has been in the forefront in becoming </w:t>
      </w:r>
      <w:r w:rsidR="00204B54">
        <w:rPr>
          <w:rFonts w:ascii="Times New Roman" w:eastAsia="Arial Unicode MS" w:hAnsi="Times New Roman" w:cs="Times New Roman"/>
          <w:sz w:val="24"/>
          <w:szCs w:val="24"/>
        </w:rPr>
        <w:t xml:space="preserve">a </w:t>
      </w:r>
      <w:r w:rsidR="00FD3BA5">
        <w:rPr>
          <w:rFonts w:ascii="Times New Roman" w:eastAsia="Arial Unicode MS" w:hAnsi="Times New Roman" w:cs="Times New Roman"/>
          <w:sz w:val="24"/>
          <w:szCs w:val="24"/>
        </w:rPr>
        <w:t>signator</w:t>
      </w:r>
      <w:r w:rsidR="00204B54">
        <w:rPr>
          <w:rFonts w:ascii="Times New Roman" w:eastAsia="Arial Unicode MS" w:hAnsi="Times New Roman" w:cs="Times New Roman"/>
          <w:sz w:val="24"/>
          <w:szCs w:val="24"/>
        </w:rPr>
        <w:t>y</w:t>
      </w:r>
      <w:r w:rsidR="00FD3BA5">
        <w:rPr>
          <w:rFonts w:ascii="Times New Roman" w:eastAsia="Arial Unicode MS" w:hAnsi="Times New Roman" w:cs="Times New Roman"/>
          <w:sz w:val="24"/>
          <w:szCs w:val="24"/>
        </w:rPr>
        <w:t xml:space="preserve"> and member to </w:t>
      </w:r>
      <w:r w:rsidR="00E50347">
        <w:rPr>
          <w:rFonts w:ascii="Times New Roman" w:eastAsia="Arial Unicode MS" w:hAnsi="Times New Roman" w:cs="Times New Roman"/>
          <w:sz w:val="24"/>
          <w:szCs w:val="24"/>
        </w:rPr>
        <w:t>al</w:t>
      </w:r>
      <w:r w:rsidR="00FD3BA5">
        <w:rPr>
          <w:rFonts w:ascii="Times New Roman" w:eastAsia="Arial Unicode MS" w:hAnsi="Times New Roman" w:cs="Times New Roman"/>
          <w:sz w:val="24"/>
          <w:szCs w:val="24"/>
        </w:rPr>
        <w:t xml:space="preserve">most </w:t>
      </w:r>
      <w:r w:rsidR="00E50347">
        <w:rPr>
          <w:rFonts w:ascii="Times New Roman" w:eastAsia="Arial Unicode MS" w:hAnsi="Times New Roman" w:cs="Times New Roman"/>
          <w:sz w:val="24"/>
          <w:szCs w:val="24"/>
        </w:rPr>
        <w:t xml:space="preserve">all </w:t>
      </w:r>
      <w:r w:rsidR="00FD3BA5">
        <w:rPr>
          <w:rFonts w:ascii="Times New Roman" w:eastAsia="Arial Unicode MS" w:hAnsi="Times New Roman" w:cs="Times New Roman"/>
          <w:sz w:val="24"/>
          <w:szCs w:val="24"/>
        </w:rPr>
        <w:t>of the international organi</w:t>
      </w:r>
      <w:r w:rsidR="00E50347">
        <w:rPr>
          <w:rFonts w:ascii="Times New Roman" w:eastAsia="Arial Unicode MS" w:hAnsi="Times New Roman" w:cs="Times New Roman"/>
          <w:sz w:val="24"/>
          <w:szCs w:val="24"/>
        </w:rPr>
        <w:t>zations which promotes</w:t>
      </w:r>
      <w:r w:rsidR="00956329">
        <w:rPr>
          <w:rFonts w:ascii="Times New Roman" w:eastAsia="Arial Unicode MS" w:hAnsi="Times New Roman" w:cs="Times New Roman"/>
          <w:sz w:val="24"/>
          <w:szCs w:val="24"/>
        </w:rPr>
        <w:t>, protects</w:t>
      </w:r>
      <w:r w:rsidR="00FD3BA5">
        <w:rPr>
          <w:rFonts w:ascii="Times New Roman" w:eastAsia="Arial Unicode MS" w:hAnsi="Times New Roman" w:cs="Times New Roman"/>
          <w:sz w:val="24"/>
          <w:szCs w:val="24"/>
        </w:rPr>
        <w:t xml:space="preserve"> and fulfils the International Bill of Rights and other </w:t>
      </w:r>
      <w:r w:rsidR="0012205A">
        <w:rPr>
          <w:rFonts w:ascii="Times New Roman" w:eastAsia="Arial Unicode MS" w:hAnsi="Times New Roman" w:cs="Times New Roman"/>
          <w:sz w:val="24"/>
          <w:szCs w:val="24"/>
        </w:rPr>
        <w:t xml:space="preserve">UN </w:t>
      </w:r>
      <w:r w:rsidR="00FD3BA5">
        <w:rPr>
          <w:rFonts w:ascii="Times New Roman" w:eastAsia="Arial Unicode MS" w:hAnsi="Times New Roman" w:cs="Times New Roman"/>
          <w:sz w:val="24"/>
          <w:szCs w:val="24"/>
        </w:rPr>
        <w:t xml:space="preserve">Covenants </w:t>
      </w:r>
      <w:r w:rsidR="0012205A">
        <w:rPr>
          <w:rFonts w:ascii="Times New Roman" w:eastAsia="Arial Unicode MS" w:hAnsi="Times New Roman" w:cs="Times New Roman"/>
          <w:sz w:val="24"/>
          <w:szCs w:val="24"/>
        </w:rPr>
        <w:t xml:space="preserve">and </w:t>
      </w:r>
      <w:r w:rsidR="00FD3BA5">
        <w:rPr>
          <w:rFonts w:ascii="Times New Roman" w:eastAsia="Arial Unicode MS" w:hAnsi="Times New Roman" w:cs="Times New Roman"/>
          <w:sz w:val="24"/>
          <w:szCs w:val="24"/>
        </w:rPr>
        <w:t xml:space="preserve">or Conventions declared under the UN Charter.  </w:t>
      </w:r>
    </w:p>
    <w:p w:rsidR="00FD3BA5" w:rsidRDefault="00FD3BA5" w:rsidP="005D6440">
      <w:pPr>
        <w:pStyle w:val="NoSpacing"/>
        <w:jc w:val="both"/>
        <w:rPr>
          <w:rFonts w:ascii="Times New Roman" w:eastAsia="Arial Unicode MS" w:hAnsi="Times New Roman" w:cs="Times New Roman"/>
          <w:sz w:val="24"/>
          <w:szCs w:val="24"/>
        </w:rPr>
      </w:pPr>
    </w:p>
    <w:p w:rsidR="00B20AAB" w:rsidRDefault="00B20AAB" w:rsidP="005D6440">
      <w:pPr>
        <w:pStyle w:val="NoSpacing"/>
        <w:numPr>
          <w:ilvl w:val="0"/>
          <w:numId w:val="1"/>
        </w:numPr>
        <w:jc w:val="both"/>
        <w:rPr>
          <w:rFonts w:ascii="Times New Roman" w:hAnsi="Times New Roman" w:cs="Times New Roman"/>
          <w:b/>
          <w:sz w:val="32"/>
          <w:szCs w:val="48"/>
        </w:rPr>
      </w:pPr>
      <w:r>
        <w:rPr>
          <w:rFonts w:ascii="Times New Roman" w:hAnsi="Times New Roman" w:cs="Times New Roman"/>
          <w:b/>
          <w:sz w:val="32"/>
          <w:szCs w:val="48"/>
        </w:rPr>
        <w:t xml:space="preserve">Conclusions </w:t>
      </w:r>
    </w:p>
    <w:p w:rsidR="00B20AAB" w:rsidRDefault="00B20AAB" w:rsidP="005D6440">
      <w:pPr>
        <w:pStyle w:val="NoSpacing"/>
        <w:jc w:val="both"/>
        <w:rPr>
          <w:rFonts w:ascii="Times New Roman" w:hAnsi="Times New Roman" w:cs="Times New Roman"/>
          <w:b/>
          <w:sz w:val="32"/>
          <w:szCs w:val="48"/>
        </w:rPr>
      </w:pPr>
    </w:p>
    <w:p w:rsidR="00B20AAB" w:rsidRPr="00B20AAB" w:rsidRDefault="00B20AAB" w:rsidP="005D6440">
      <w:pPr>
        <w:pStyle w:val="NoSpacing"/>
        <w:jc w:val="both"/>
        <w:rPr>
          <w:rFonts w:ascii="Times New Roman" w:hAnsi="Times New Roman" w:cs="Times New Roman"/>
          <w:sz w:val="24"/>
        </w:rPr>
      </w:pPr>
      <w:r w:rsidRPr="00B20AAB">
        <w:rPr>
          <w:rFonts w:ascii="Times New Roman" w:hAnsi="Times New Roman" w:cs="Times New Roman"/>
          <w:sz w:val="24"/>
        </w:rPr>
        <w:t xml:space="preserve">Despite being a signatory to the </w:t>
      </w:r>
      <w:hyperlink r:id="rId33" w:history="1">
        <w:r w:rsidR="00E50347" w:rsidRPr="00646553">
          <w:rPr>
            <w:rStyle w:val="Hyperlink"/>
            <w:rFonts w:ascii="Times New Roman" w:hAnsi="Times New Roman" w:cs="Times New Roman"/>
            <w:sz w:val="24"/>
          </w:rPr>
          <w:t>UN</w:t>
        </w:r>
        <w:r w:rsidR="00E50347">
          <w:rPr>
            <w:rStyle w:val="Hyperlink"/>
            <w:rFonts w:ascii="Times New Roman" w:hAnsi="Times New Roman" w:cs="Times New Roman"/>
            <w:sz w:val="24"/>
          </w:rPr>
          <w:t xml:space="preserve"> </w:t>
        </w:r>
        <w:r w:rsidR="00E50347" w:rsidRPr="00646553">
          <w:rPr>
            <w:rStyle w:val="Hyperlink"/>
            <w:rFonts w:ascii="Times New Roman" w:hAnsi="Times New Roman" w:cs="Times New Roman"/>
            <w:sz w:val="24"/>
          </w:rPr>
          <w:t>Global</w:t>
        </w:r>
        <w:r w:rsidR="00E50347">
          <w:rPr>
            <w:rStyle w:val="Hyperlink"/>
            <w:rFonts w:ascii="Times New Roman" w:hAnsi="Times New Roman" w:cs="Times New Roman"/>
            <w:sz w:val="24"/>
          </w:rPr>
          <w:t xml:space="preserve"> </w:t>
        </w:r>
        <w:r w:rsidR="00E50347" w:rsidRPr="00646553">
          <w:rPr>
            <w:rStyle w:val="Hyperlink"/>
            <w:rFonts w:ascii="Times New Roman" w:hAnsi="Times New Roman" w:cs="Times New Roman"/>
            <w:sz w:val="24"/>
          </w:rPr>
          <w:t>Compact</w:t>
        </w:r>
      </w:hyperlink>
      <w:r w:rsidR="00E50347">
        <w:rPr>
          <w:rFonts w:ascii="Times New Roman" w:hAnsi="Times New Roman" w:cs="Times New Roman"/>
          <w:sz w:val="24"/>
        </w:rPr>
        <w:t xml:space="preserve"> , the </w:t>
      </w:r>
      <w:hyperlink r:id="rId34" w:history="1">
        <w:r w:rsidR="00E50347" w:rsidRPr="00646553">
          <w:rPr>
            <w:rStyle w:val="Hyperlink"/>
            <w:rFonts w:ascii="Times New Roman" w:hAnsi="Times New Roman" w:cs="Times New Roman"/>
            <w:sz w:val="24"/>
          </w:rPr>
          <w:t>Voluntary</w:t>
        </w:r>
        <w:r w:rsidR="00E50347">
          <w:rPr>
            <w:rStyle w:val="Hyperlink"/>
            <w:rFonts w:ascii="Times New Roman" w:hAnsi="Times New Roman" w:cs="Times New Roman"/>
            <w:sz w:val="24"/>
          </w:rPr>
          <w:t xml:space="preserve"> </w:t>
        </w:r>
        <w:r w:rsidR="00E50347" w:rsidRPr="00646553">
          <w:rPr>
            <w:rStyle w:val="Hyperlink"/>
            <w:rFonts w:ascii="Times New Roman" w:hAnsi="Times New Roman" w:cs="Times New Roman"/>
            <w:sz w:val="24"/>
          </w:rPr>
          <w:t>Principles</w:t>
        </w:r>
        <w:r w:rsidR="00E50347">
          <w:rPr>
            <w:rStyle w:val="Hyperlink"/>
            <w:rFonts w:ascii="Times New Roman" w:hAnsi="Times New Roman" w:cs="Times New Roman"/>
            <w:sz w:val="24"/>
          </w:rPr>
          <w:t xml:space="preserve"> </w:t>
        </w:r>
        <w:r w:rsidR="00E50347" w:rsidRPr="00646553">
          <w:rPr>
            <w:rStyle w:val="Hyperlink"/>
            <w:rFonts w:ascii="Times New Roman" w:hAnsi="Times New Roman" w:cs="Times New Roman"/>
            <w:sz w:val="24"/>
          </w:rPr>
          <w:t>on</w:t>
        </w:r>
        <w:r w:rsidR="00E50347">
          <w:rPr>
            <w:rStyle w:val="Hyperlink"/>
            <w:rFonts w:ascii="Times New Roman" w:hAnsi="Times New Roman" w:cs="Times New Roman"/>
            <w:sz w:val="24"/>
          </w:rPr>
          <w:t xml:space="preserve"> </w:t>
        </w:r>
        <w:r w:rsidR="00E50347" w:rsidRPr="00646553">
          <w:rPr>
            <w:rStyle w:val="Hyperlink"/>
            <w:rFonts w:ascii="Times New Roman" w:hAnsi="Times New Roman" w:cs="Times New Roman"/>
            <w:sz w:val="24"/>
          </w:rPr>
          <w:t>Security</w:t>
        </w:r>
        <w:r w:rsidR="00E50347">
          <w:rPr>
            <w:rStyle w:val="Hyperlink"/>
            <w:rFonts w:ascii="Times New Roman" w:hAnsi="Times New Roman" w:cs="Times New Roman"/>
            <w:sz w:val="24"/>
          </w:rPr>
          <w:t xml:space="preserve"> </w:t>
        </w:r>
        <w:r w:rsidR="00E50347" w:rsidRPr="00646553">
          <w:rPr>
            <w:rStyle w:val="Hyperlink"/>
            <w:rFonts w:ascii="Times New Roman" w:hAnsi="Times New Roman" w:cs="Times New Roman"/>
            <w:sz w:val="24"/>
          </w:rPr>
          <w:t>and</w:t>
        </w:r>
        <w:r w:rsidR="00E50347">
          <w:rPr>
            <w:rStyle w:val="Hyperlink"/>
            <w:rFonts w:ascii="Times New Roman" w:hAnsi="Times New Roman" w:cs="Times New Roman"/>
            <w:sz w:val="24"/>
          </w:rPr>
          <w:t xml:space="preserve"> </w:t>
        </w:r>
        <w:r w:rsidR="00E50347" w:rsidRPr="00646553">
          <w:rPr>
            <w:rStyle w:val="Hyperlink"/>
            <w:rFonts w:ascii="Times New Roman" w:hAnsi="Times New Roman" w:cs="Times New Roman"/>
            <w:sz w:val="24"/>
          </w:rPr>
          <w:t>Human</w:t>
        </w:r>
        <w:r w:rsidR="00E50347">
          <w:rPr>
            <w:rStyle w:val="Hyperlink"/>
            <w:rFonts w:ascii="Times New Roman" w:hAnsi="Times New Roman" w:cs="Times New Roman"/>
            <w:sz w:val="24"/>
          </w:rPr>
          <w:t xml:space="preserve"> </w:t>
        </w:r>
        <w:r w:rsidR="00E50347" w:rsidRPr="00646553">
          <w:rPr>
            <w:rStyle w:val="Hyperlink"/>
            <w:rFonts w:ascii="Times New Roman" w:hAnsi="Times New Roman" w:cs="Times New Roman"/>
            <w:sz w:val="24"/>
          </w:rPr>
          <w:t>Rights</w:t>
        </w:r>
      </w:hyperlink>
      <w:r w:rsidR="00E50347">
        <w:rPr>
          <w:rFonts w:ascii="Times New Roman" w:hAnsi="Times New Roman" w:cs="Times New Roman"/>
          <w:sz w:val="24"/>
        </w:rPr>
        <w:t xml:space="preserve">  </w:t>
      </w:r>
      <w:r w:rsidRPr="00B20AAB">
        <w:rPr>
          <w:rFonts w:ascii="Times New Roman" w:hAnsi="Times New Roman" w:cs="Times New Roman"/>
          <w:sz w:val="24"/>
        </w:rPr>
        <w:t xml:space="preserve">, the </w:t>
      </w:r>
      <w:hyperlink r:id="rId35" w:history="1">
        <w:r w:rsidR="00E50347" w:rsidRPr="00646553">
          <w:rPr>
            <w:rStyle w:val="Hyperlink"/>
            <w:rFonts w:ascii="Times New Roman" w:hAnsi="Times New Roman" w:cs="Times New Roman"/>
            <w:sz w:val="24"/>
          </w:rPr>
          <w:t>ICMM</w:t>
        </w:r>
      </w:hyperlink>
      <w:r w:rsidR="00E50347">
        <w:rPr>
          <w:rFonts w:ascii="Times New Roman" w:hAnsi="Times New Roman" w:cs="Times New Roman"/>
          <w:sz w:val="24"/>
        </w:rPr>
        <w:t xml:space="preserve"> </w:t>
      </w:r>
      <w:r w:rsidRPr="00B20AAB">
        <w:rPr>
          <w:rFonts w:ascii="Times New Roman" w:hAnsi="Times New Roman" w:cs="Times New Roman"/>
          <w:sz w:val="24"/>
        </w:rPr>
        <w:t xml:space="preserve">, and the </w:t>
      </w:r>
      <w:hyperlink r:id="rId36" w:history="1">
        <w:r w:rsidR="00565B5C" w:rsidRPr="00646553">
          <w:rPr>
            <w:rStyle w:val="Hyperlink"/>
            <w:rFonts w:ascii="Times New Roman" w:hAnsi="Times New Roman" w:cs="Times New Roman"/>
            <w:sz w:val="24"/>
          </w:rPr>
          <w:t>Extractive</w:t>
        </w:r>
        <w:r w:rsidR="00565B5C">
          <w:rPr>
            <w:rStyle w:val="Hyperlink"/>
            <w:rFonts w:ascii="Times New Roman" w:hAnsi="Times New Roman" w:cs="Times New Roman"/>
            <w:sz w:val="24"/>
          </w:rPr>
          <w:t xml:space="preserve"> </w:t>
        </w:r>
        <w:r w:rsidR="00565B5C" w:rsidRPr="00646553">
          <w:rPr>
            <w:rStyle w:val="Hyperlink"/>
            <w:rFonts w:ascii="Times New Roman" w:hAnsi="Times New Roman" w:cs="Times New Roman"/>
            <w:sz w:val="24"/>
          </w:rPr>
          <w:t>Industries</w:t>
        </w:r>
        <w:r w:rsidR="00565B5C">
          <w:rPr>
            <w:rStyle w:val="Hyperlink"/>
            <w:rFonts w:ascii="Times New Roman" w:hAnsi="Times New Roman" w:cs="Times New Roman"/>
            <w:sz w:val="24"/>
          </w:rPr>
          <w:t xml:space="preserve"> </w:t>
        </w:r>
        <w:r w:rsidR="00565B5C" w:rsidRPr="00646553">
          <w:rPr>
            <w:rStyle w:val="Hyperlink"/>
            <w:rFonts w:ascii="Times New Roman" w:hAnsi="Times New Roman" w:cs="Times New Roman"/>
            <w:sz w:val="24"/>
          </w:rPr>
          <w:t>Transparency</w:t>
        </w:r>
        <w:r w:rsidR="00565B5C">
          <w:rPr>
            <w:rStyle w:val="Hyperlink"/>
            <w:rFonts w:ascii="Times New Roman" w:hAnsi="Times New Roman" w:cs="Times New Roman"/>
            <w:sz w:val="24"/>
          </w:rPr>
          <w:t xml:space="preserve"> </w:t>
        </w:r>
        <w:r w:rsidR="00565B5C" w:rsidRPr="00646553">
          <w:rPr>
            <w:rStyle w:val="Hyperlink"/>
            <w:rFonts w:ascii="Times New Roman" w:hAnsi="Times New Roman" w:cs="Times New Roman"/>
            <w:sz w:val="24"/>
          </w:rPr>
          <w:t>Initiative</w:t>
        </w:r>
      </w:hyperlink>
      <w:r w:rsidR="00565B5C">
        <w:rPr>
          <w:rFonts w:ascii="Times New Roman" w:hAnsi="Times New Roman" w:cs="Times New Roman"/>
          <w:sz w:val="24"/>
        </w:rPr>
        <w:t xml:space="preserve"> </w:t>
      </w:r>
      <w:r w:rsidRPr="00B20AAB">
        <w:rPr>
          <w:rFonts w:ascii="Times New Roman" w:hAnsi="Times New Roman" w:cs="Times New Roman"/>
          <w:sz w:val="24"/>
        </w:rPr>
        <w:t>, Barrick has n</w:t>
      </w:r>
      <w:r w:rsidR="00956329">
        <w:rPr>
          <w:rFonts w:ascii="Times New Roman" w:hAnsi="Times New Roman" w:cs="Times New Roman"/>
          <w:sz w:val="24"/>
        </w:rPr>
        <w:t xml:space="preserve">ot improved on its human and </w:t>
      </w:r>
      <w:r w:rsidRPr="00B20AAB">
        <w:rPr>
          <w:rFonts w:ascii="Times New Roman" w:hAnsi="Times New Roman" w:cs="Times New Roman"/>
          <w:sz w:val="24"/>
        </w:rPr>
        <w:t xml:space="preserve">environmental </w:t>
      </w:r>
      <w:r w:rsidR="00956329">
        <w:rPr>
          <w:rFonts w:ascii="Times New Roman" w:hAnsi="Times New Roman" w:cs="Times New Roman"/>
          <w:sz w:val="24"/>
        </w:rPr>
        <w:t xml:space="preserve">rights </w:t>
      </w:r>
      <w:r w:rsidRPr="00B20AAB">
        <w:rPr>
          <w:rFonts w:ascii="Times New Roman" w:hAnsi="Times New Roman" w:cs="Times New Roman"/>
          <w:sz w:val="24"/>
        </w:rPr>
        <w:t xml:space="preserve">performance since first reported in </w:t>
      </w:r>
      <w:r w:rsidR="00463A15">
        <w:rPr>
          <w:rFonts w:ascii="Times New Roman" w:hAnsi="Times New Roman" w:cs="Times New Roman"/>
          <w:sz w:val="24"/>
        </w:rPr>
        <w:t xml:space="preserve">2004 by ATA and in </w:t>
      </w:r>
      <w:r w:rsidRPr="00B20AAB">
        <w:rPr>
          <w:rFonts w:ascii="Times New Roman" w:hAnsi="Times New Roman" w:cs="Times New Roman"/>
          <w:sz w:val="24"/>
        </w:rPr>
        <w:t xml:space="preserve">2012 by </w:t>
      </w:r>
      <w:r w:rsidR="00B50A64">
        <w:rPr>
          <w:rFonts w:ascii="Times New Roman" w:hAnsi="Times New Roman" w:cs="Times New Roman"/>
          <w:sz w:val="24"/>
        </w:rPr>
        <w:t>other</w:t>
      </w:r>
      <w:r w:rsidRPr="00B20AAB">
        <w:rPr>
          <w:rFonts w:ascii="Times New Roman" w:hAnsi="Times New Roman" w:cs="Times New Roman"/>
          <w:sz w:val="24"/>
        </w:rPr>
        <w:t xml:space="preserve"> reputable international organizations.</w:t>
      </w:r>
      <w:r>
        <w:rPr>
          <w:rStyle w:val="FootnoteReference"/>
          <w:rFonts w:ascii="Times New Roman" w:hAnsi="Times New Roman" w:cs="Times New Roman"/>
          <w:sz w:val="24"/>
        </w:rPr>
        <w:footnoteReference w:id="19"/>
      </w:r>
      <w:r w:rsidR="00B50A64">
        <w:rPr>
          <w:rFonts w:ascii="Times New Roman" w:hAnsi="Times New Roman" w:cs="Times New Roman"/>
          <w:sz w:val="24"/>
        </w:rPr>
        <w:t xml:space="preserve"> Barrick Gold has not responded to</w:t>
      </w:r>
      <w:r w:rsidRPr="00B20AAB">
        <w:rPr>
          <w:rFonts w:ascii="Times New Roman" w:hAnsi="Times New Roman" w:cs="Times New Roman"/>
          <w:sz w:val="24"/>
        </w:rPr>
        <w:t xml:space="preserve"> </w:t>
      </w:r>
      <w:r w:rsidR="00565B5C">
        <w:rPr>
          <w:rFonts w:ascii="Times New Roman" w:hAnsi="Times New Roman" w:cs="Times New Roman"/>
          <w:sz w:val="24"/>
        </w:rPr>
        <w:t>these</w:t>
      </w:r>
      <w:r w:rsidRPr="00B20AAB">
        <w:rPr>
          <w:rFonts w:ascii="Times New Roman" w:hAnsi="Times New Roman" w:cs="Times New Roman"/>
          <w:sz w:val="24"/>
        </w:rPr>
        <w:t xml:space="preserve"> organization</w:t>
      </w:r>
      <w:r w:rsidR="00565B5C">
        <w:rPr>
          <w:rFonts w:ascii="Times New Roman" w:hAnsi="Times New Roman" w:cs="Times New Roman"/>
          <w:sz w:val="24"/>
        </w:rPr>
        <w:t>s</w:t>
      </w:r>
      <w:r w:rsidRPr="00B20AAB">
        <w:rPr>
          <w:rFonts w:ascii="Times New Roman" w:hAnsi="Times New Roman" w:cs="Times New Roman"/>
          <w:sz w:val="24"/>
        </w:rPr>
        <w:t xml:space="preserve"> despite repeated attempts to contact the company. This has resulted in the categorization of Barrick Gold as “</w:t>
      </w:r>
      <w:r w:rsidRPr="00956329">
        <w:rPr>
          <w:rFonts w:ascii="Times New Roman" w:hAnsi="Times New Roman" w:cs="Times New Roman"/>
          <w:b/>
          <w:sz w:val="24"/>
        </w:rPr>
        <w:t>The pits:</w:t>
      </w:r>
      <w:r w:rsidRPr="00B20AAB">
        <w:rPr>
          <w:rFonts w:ascii="Times New Roman" w:hAnsi="Times New Roman" w:cs="Times New Roman"/>
          <w:sz w:val="24"/>
        </w:rPr>
        <w:t xml:space="preserve"> </w:t>
      </w:r>
      <w:r w:rsidRPr="00B20AAB">
        <w:rPr>
          <w:rFonts w:ascii="Times New Roman" w:hAnsi="Times New Roman" w:cs="Times New Roman"/>
          <w:b/>
          <w:sz w:val="24"/>
        </w:rPr>
        <w:t>extremely poor performer</w:t>
      </w:r>
      <w:r w:rsidRPr="00B20AAB">
        <w:rPr>
          <w:rFonts w:ascii="Times New Roman" w:hAnsi="Times New Roman" w:cs="Times New Roman"/>
          <w:sz w:val="24"/>
        </w:rPr>
        <w:t>”.</w:t>
      </w:r>
      <w:r w:rsidR="008207DA">
        <w:rPr>
          <w:rStyle w:val="FootnoteReference"/>
          <w:rFonts w:ascii="Times New Roman" w:hAnsi="Times New Roman" w:cs="Times New Roman"/>
          <w:sz w:val="24"/>
        </w:rPr>
        <w:footnoteReference w:id="20"/>
      </w:r>
    </w:p>
    <w:p w:rsidR="00B20AAB" w:rsidRDefault="00B20AAB" w:rsidP="005D6440">
      <w:pPr>
        <w:pStyle w:val="NoSpacing"/>
        <w:jc w:val="both"/>
        <w:rPr>
          <w:rFonts w:ascii="Times New Roman" w:eastAsia="Arial Unicode MS" w:hAnsi="Times New Roman" w:cs="Times New Roman"/>
          <w:sz w:val="24"/>
        </w:rPr>
      </w:pPr>
    </w:p>
    <w:p w:rsidR="00B20AAB" w:rsidRDefault="00B20AAB" w:rsidP="005D6440">
      <w:pPr>
        <w:pStyle w:val="NoSpacing"/>
        <w:jc w:val="both"/>
        <w:rPr>
          <w:rFonts w:ascii="Times New Roman" w:eastAsia="Arial Unicode MS" w:hAnsi="Times New Roman" w:cs="Times New Roman"/>
          <w:sz w:val="24"/>
        </w:rPr>
      </w:pPr>
      <w:r w:rsidRPr="00B20AAB">
        <w:rPr>
          <w:rFonts w:ascii="Times New Roman" w:eastAsia="Arial Unicode MS" w:hAnsi="Times New Roman" w:cs="Times New Roman"/>
          <w:sz w:val="24"/>
        </w:rPr>
        <w:t xml:space="preserve">Contemporarily, ATA is recording at the most, 3 to 4 human rights violations involving </w:t>
      </w:r>
      <w:r w:rsidR="00565B5C">
        <w:rPr>
          <w:rFonts w:ascii="Times New Roman" w:eastAsia="Arial Unicode MS" w:hAnsi="Times New Roman" w:cs="Times New Roman"/>
          <w:sz w:val="24"/>
        </w:rPr>
        <w:t>alluvial</w:t>
      </w:r>
      <w:r w:rsidRPr="00B20AAB">
        <w:rPr>
          <w:rFonts w:ascii="Times New Roman" w:eastAsia="Arial Unicode MS" w:hAnsi="Times New Roman" w:cs="Times New Roman"/>
          <w:sz w:val="24"/>
        </w:rPr>
        <w:t xml:space="preserve"> miners at the Open Pit </w:t>
      </w:r>
      <w:r w:rsidR="00204B54">
        <w:rPr>
          <w:rFonts w:ascii="Times New Roman" w:eastAsia="Arial Unicode MS" w:hAnsi="Times New Roman" w:cs="Times New Roman"/>
          <w:sz w:val="24"/>
        </w:rPr>
        <w:t xml:space="preserve">and treacherous waste dumps </w:t>
      </w:r>
      <w:r w:rsidRPr="00B20AAB">
        <w:rPr>
          <w:rFonts w:ascii="Times New Roman" w:eastAsia="Arial Unicode MS" w:hAnsi="Times New Roman" w:cs="Times New Roman"/>
          <w:sz w:val="24"/>
        </w:rPr>
        <w:t xml:space="preserve">per month. This is in fact a humanity crises situation which </w:t>
      </w:r>
      <w:r w:rsidR="004F07F6">
        <w:rPr>
          <w:rFonts w:ascii="Times New Roman" w:eastAsia="Arial Unicode MS" w:hAnsi="Times New Roman" w:cs="Times New Roman"/>
          <w:sz w:val="24"/>
        </w:rPr>
        <w:t xml:space="preserve">warrants </w:t>
      </w:r>
      <w:r w:rsidR="00853606">
        <w:rPr>
          <w:rFonts w:ascii="Times New Roman" w:eastAsia="Arial Unicode MS" w:hAnsi="Times New Roman" w:cs="Times New Roman"/>
          <w:sz w:val="24"/>
        </w:rPr>
        <w:t xml:space="preserve">responsible </w:t>
      </w:r>
      <w:r w:rsidR="004F07F6">
        <w:rPr>
          <w:rFonts w:ascii="Times New Roman" w:eastAsia="Arial Unicode MS" w:hAnsi="Times New Roman" w:cs="Times New Roman"/>
          <w:sz w:val="24"/>
        </w:rPr>
        <w:t>local S</w:t>
      </w:r>
      <w:r w:rsidR="008207DA">
        <w:rPr>
          <w:rFonts w:ascii="Times New Roman" w:eastAsia="Arial Unicode MS" w:hAnsi="Times New Roman" w:cs="Times New Roman"/>
          <w:sz w:val="24"/>
        </w:rPr>
        <w:t xml:space="preserve">tate, </w:t>
      </w:r>
      <w:r w:rsidR="00565B5C">
        <w:rPr>
          <w:rFonts w:ascii="Times New Roman" w:eastAsia="Arial Unicode MS" w:hAnsi="Times New Roman" w:cs="Times New Roman"/>
          <w:sz w:val="24"/>
        </w:rPr>
        <w:t xml:space="preserve">international NGOs </w:t>
      </w:r>
      <w:r w:rsidR="008207DA">
        <w:rPr>
          <w:rFonts w:ascii="Times New Roman" w:eastAsia="Arial Unicode MS" w:hAnsi="Times New Roman" w:cs="Times New Roman"/>
          <w:sz w:val="24"/>
        </w:rPr>
        <w:t xml:space="preserve">and UN’s </w:t>
      </w:r>
      <w:r w:rsidR="008207DA" w:rsidRPr="00B20AAB">
        <w:rPr>
          <w:rFonts w:ascii="Times New Roman" w:eastAsia="Arial Unicode MS" w:hAnsi="Times New Roman" w:cs="Times New Roman"/>
          <w:sz w:val="24"/>
        </w:rPr>
        <w:t>intervention</w:t>
      </w:r>
      <w:r w:rsidR="008207DA">
        <w:rPr>
          <w:rFonts w:ascii="Times New Roman" w:eastAsia="Arial Unicode MS" w:hAnsi="Times New Roman" w:cs="Times New Roman"/>
          <w:sz w:val="24"/>
        </w:rPr>
        <w:t xml:space="preserve">. </w:t>
      </w:r>
    </w:p>
    <w:p w:rsidR="0049740C" w:rsidRDefault="0049740C" w:rsidP="005D6440">
      <w:pPr>
        <w:pStyle w:val="NoSpacing"/>
        <w:jc w:val="both"/>
        <w:rPr>
          <w:rFonts w:ascii="Times New Roman" w:eastAsia="Arial Unicode MS" w:hAnsi="Times New Roman" w:cs="Times New Roman"/>
          <w:sz w:val="24"/>
        </w:rPr>
      </w:pPr>
    </w:p>
    <w:p w:rsidR="0049740C" w:rsidRPr="00565B5C" w:rsidRDefault="002B4FF2" w:rsidP="005D6440">
      <w:pPr>
        <w:pStyle w:val="NoSpacing"/>
        <w:jc w:val="both"/>
        <w:rPr>
          <w:rFonts w:ascii="Times New Roman" w:hAnsi="Times New Roman" w:cs="Times New Roman"/>
          <w:b/>
          <w:sz w:val="28"/>
          <w:szCs w:val="48"/>
        </w:rPr>
      </w:pPr>
      <w:r>
        <w:rPr>
          <w:rFonts w:ascii="Times New Roman" w:eastAsia="Arial Unicode MS" w:hAnsi="Times New Roman" w:cs="Times New Roman"/>
          <w:sz w:val="24"/>
        </w:rPr>
        <w:t xml:space="preserve">Also, after knowing that Barrick is so ignorant and negligent in responding to our </w:t>
      </w:r>
      <w:r w:rsidR="00853606">
        <w:rPr>
          <w:rFonts w:ascii="Times New Roman" w:eastAsia="Arial Unicode MS" w:hAnsi="Times New Roman" w:cs="Times New Roman"/>
          <w:sz w:val="24"/>
        </w:rPr>
        <w:t>requests</w:t>
      </w:r>
      <w:r>
        <w:rPr>
          <w:rFonts w:ascii="Times New Roman" w:eastAsia="Arial Unicode MS" w:hAnsi="Times New Roman" w:cs="Times New Roman"/>
          <w:sz w:val="24"/>
        </w:rPr>
        <w:t xml:space="preserve">, </w:t>
      </w:r>
      <w:r w:rsidR="0049740C">
        <w:rPr>
          <w:rFonts w:ascii="Times New Roman" w:eastAsia="Arial Unicode MS" w:hAnsi="Times New Roman" w:cs="Times New Roman"/>
          <w:sz w:val="24"/>
        </w:rPr>
        <w:t xml:space="preserve">the ATA </w:t>
      </w:r>
      <w:r w:rsidR="00853606">
        <w:rPr>
          <w:rFonts w:ascii="Times New Roman" w:eastAsia="Arial Unicode MS" w:hAnsi="Times New Roman" w:cs="Times New Roman"/>
          <w:sz w:val="24"/>
        </w:rPr>
        <w:t>is</w:t>
      </w:r>
      <w:r w:rsidR="0049740C">
        <w:rPr>
          <w:rFonts w:ascii="Times New Roman" w:eastAsia="Arial Unicode MS" w:hAnsi="Times New Roman" w:cs="Times New Roman"/>
          <w:sz w:val="24"/>
        </w:rPr>
        <w:t xml:space="preserve"> submitt</w:t>
      </w:r>
      <w:r w:rsidR="00853606">
        <w:rPr>
          <w:rFonts w:ascii="Times New Roman" w:eastAsia="Arial Unicode MS" w:hAnsi="Times New Roman" w:cs="Times New Roman"/>
          <w:sz w:val="24"/>
        </w:rPr>
        <w:t>ing</w:t>
      </w:r>
      <w:r w:rsidR="0049740C">
        <w:rPr>
          <w:rFonts w:ascii="Times New Roman" w:eastAsia="Arial Unicode MS" w:hAnsi="Times New Roman" w:cs="Times New Roman"/>
          <w:sz w:val="24"/>
        </w:rPr>
        <w:t xml:space="preserve"> th</w:t>
      </w:r>
      <w:r w:rsidR="00853606">
        <w:rPr>
          <w:rFonts w:ascii="Times New Roman" w:eastAsia="Arial Unicode MS" w:hAnsi="Times New Roman" w:cs="Times New Roman"/>
          <w:sz w:val="24"/>
        </w:rPr>
        <w:t>is</w:t>
      </w:r>
      <w:r w:rsidR="0049740C">
        <w:rPr>
          <w:rFonts w:ascii="Times New Roman" w:eastAsia="Arial Unicode MS" w:hAnsi="Times New Roman" w:cs="Times New Roman"/>
          <w:sz w:val="24"/>
        </w:rPr>
        <w:t xml:space="preserve"> attached Petition to know whether or not the Barrick Gold Corp</w:t>
      </w:r>
      <w:r w:rsidR="00853606">
        <w:rPr>
          <w:rFonts w:ascii="Times New Roman" w:eastAsia="Arial Unicode MS" w:hAnsi="Times New Roman" w:cs="Times New Roman"/>
          <w:sz w:val="24"/>
        </w:rPr>
        <w:t xml:space="preserve"> and its subsidiarity, Barrick Niugini</w:t>
      </w:r>
      <w:r w:rsidR="0049740C">
        <w:rPr>
          <w:rFonts w:ascii="Times New Roman" w:eastAsia="Arial Unicode MS" w:hAnsi="Times New Roman" w:cs="Times New Roman"/>
          <w:sz w:val="24"/>
        </w:rPr>
        <w:t xml:space="preserve"> </w:t>
      </w:r>
      <w:r w:rsidR="00853606">
        <w:rPr>
          <w:rFonts w:ascii="Times New Roman" w:eastAsia="Arial Unicode MS" w:hAnsi="Times New Roman" w:cs="Times New Roman"/>
          <w:sz w:val="24"/>
        </w:rPr>
        <w:t xml:space="preserve">Limited </w:t>
      </w:r>
      <w:r w:rsidR="0049740C">
        <w:rPr>
          <w:rFonts w:ascii="Times New Roman" w:eastAsia="Arial Unicode MS" w:hAnsi="Times New Roman" w:cs="Times New Roman"/>
          <w:sz w:val="24"/>
        </w:rPr>
        <w:t>ha</w:t>
      </w:r>
      <w:r w:rsidR="00853606">
        <w:rPr>
          <w:rFonts w:ascii="Times New Roman" w:eastAsia="Arial Unicode MS" w:hAnsi="Times New Roman" w:cs="Times New Roman"/>
          <w:sz w:val="24"/>
        </w:rPr>
        <w:t>ve</w:t>
      </w:r>
      <w:r w:rsidR="0049740C">
        <w:rPr>
          <w:rFonts w:ascii="Times New Roman" w:eastAsia="Arial Unicode MS" w:hAnsi="Times New Roman" w:cs="Times New Roman"/>
          <w:sz w:val="24"/>
        </w:rPr>
        <w:t xml:space="preserve"> inten</w:t>
      </w:r>
      <w:r>
        <w:rPr>
          <w:rFonts w:ascii="Times New Roman" w:eastAsia="Arial Unicode MS" w:hAnsi="Times New Roman" w:cs="Times New Roman"/>
          <w:sz w:val="24"/>
        </w:rPr>
        <w:t xml:space="preserve">tions of processing, assessing and </w:t>
      </w:r>
      <w:r w:rsidR="0049740C">
        <w:rPr>
          <w:rFonts w:ascii="Times New Roman" w:eastAsia="Arial Unicode MS" w:hAnsi="Times New Roman" w:cs="Times New Roman"/>
          <w:sz w:val="24"/>
        </w:rPr>
        <w:t xml:space="preserve">evaluating </w:t>
      </w:r>
      <w:r>
        <w:rPr>
          <w:rFonts w:ascii="Times New Roman" w:eastAsia="Arial Unicode MS" w:hAnsi="Times New Roman" w:cs="Times New Roman"/>
          <w:sz w:val="24"/>
        </w:rPr>
        <w:t>these</w:t>
      </w:r>
      <w:r w:rsidR="0049740C">
        <w:rPr>
          <w:rFonts w:ascii="Times New Roman" w:eastAsia="Arial Unicode MS" w:hAnsi="Times New Roman" w:cs="Times New Roman"/>
          <w:sz w:val="24"/>
        </w:rPr>
        <w:t xml:space="preserve"> 940 backlogged cases identified by </w:t>
      </w:r>
      <w:r w:rsidR="00A36985">
        <w:rPr>
          <w:rFonts w:ascii="Times New Roman" w:eastAsia="Arial Unicode MS" w:hAnsi="Times New Roman" w:cs="Times New Roman"/>
          <w:sz w:val="24"/>
        </w:rPr>
        <w:t>its</w:t>
      </w:r>
      <w:r w:rsidR="0049740C">
        <w:rPr>
          <w:rFonts w:ascii="Times New Roman" w:eastAsia="Arial Unicode MS" w:hAnsi="Times New Roman" w:cs="Times New Roman"/>
          <w:sz w:val="24"/>
        </w:rPr>
        <w:t xml:space="preserve"> very own commissioned </w:t>
      </w:r>
      <w:hyperlink r:id="rId37" w:history="1">
        <w:r w:rsidR="0049740C" w:rsidRPr="00AD6335">
          <w:rPr>
            <w:rStyle w:val="Hyperlink"/>
            <w:rFonts w:ascii="Times New Roman" w:eastAsia="Arial Unicode MS" w:hAnsi="Times New Roman" w:cs="Times New Roman"/>
            <w:sz w:val="24"/>
            <w:szCs w:val="24"/>
          </w:rPr>
          <w:t>Report</w:t>
        </w:r>
      </w:hyperlink>
      <w:r w:rsidR="00565B5C">
        <w:rPr>
          <w:rStyle w:val="Hyperlink"/>
          <w:rFonts w:ascii="Times New Roman" w:eastAsia="Arial Unicode MS" w:hAnsi="Times New Roman" w:cs="Times New Roman"/>
          <w:sz w:val="24"/>
          <w:szCs w:val="24"/>
          <w:u w:val="none"/>
        </w:rPr>
        <w:t xml:space="preserve"> </w:t>
      </w:r>
      <w:r w:rsidR="00565B5C">
        <w:rPr>
          <w:rStyle w:val="Hyperlink"/>
          <w:rFonts w:ascii="Times New Roman" w:eastAsia="Arial Unicode MS" w:hAnsi="Times New Roman" w:cs="Times New Roman"/>
          <w:color w:val="auto"/>
          <w:sz w:val="24"/>
          <w:szCs w:val="24"/>
          <w:u w:val="none"/>
        </w:rPr>
        <w:t>prior t</w:t>
      </w:r>
      <w:r w:rsidR="00E92F70">
        <w:rPr>
          <w:rStyle w:val="Hyperlink"/>
          <w:rFonts w:ascii="Times New Roman" w:eastAsia="Arial Unicode MS" w:hAnsi="Times New Roman" w:cs="Times New Roman"/>
          <w:color w:val="auto"/>
          <w:sz w:val="24"/>
          <w:szCs w:val="24"/>
          <w:u w:val="none"/>
        </w:rPr>
        <w:t>o reviewing and renegotiati</w:t>
      </w:r>
      <w:r w:rsidR="004F07F6">
        <w:rPr>
          <w:rStyle w:val="Hyperlink"/>
          <w:rFonts w:ascii="Times New Roman" w:eastAsia="Arial Unicode MS" w:hAnsi="Times New Roman" w:cs="Times New Roman"/>
          <w:color w:val="auto"/>
          <w:sz w:val="24"/>
          <w:szCs w:val="24"/>
          <w:u w:val="none"/>
        </w:rPr>
        <w:t>o</w:t>
      </w:r>
      <w:r w:rsidR="00E92F70">
        <w:rPr>
          <w:rStyle w:val="Hyperlink"/>
          <w:rFonts w:ascii="Times New Roman" w:eastAsia="Arial Unicode MS" w:hAnsi="Times New Roman" w:cs="Times New Roman"/>
          <w:color w:val="auto"/>
          <w:sz w:val="24"/>
          <w:szCs w:val="24"/>
          <w:u w:val="none"/>
        </w:rPr>
        <w:t>n</w:t>
      </w:r>
      <w:r w:rsidR="004F07F6">
        <w:rPr>
          <w:rStyle w:val="Hyperlink"/>
          <w:rFonts w:ascii="Times New Roman" w:eastAsia="Arial Unicode MS" w:hAnsi="Times New Roman" w:cs="Times New Roman"/>
          <w:color w:val="auto"/>
          <w:sz w:val="24"/>
          <w:szCs w:val="24"/>
          <w:u w:val="none"/>
        </w:rPr>
        <w:t>s</w:t>
      </w:r>
      <w:r w:rsidR="003769A1">
        <w:rPr>
          <w:rStyle w:val="FootnoteReference"/>
          <w:rFonts w:ascii="Times New Roman" w:eastAsia="Arial Unicode MS" w:hAnsi="Times New Roman" w:cs="Times New Roman"/>
          <w:sz w:val="24"/>
          <w:szCs w:val="24"/>
        </w:rPr>
        <w:footnoteReference w:id="21"/>
      </w:r>
      <w:r w:rsidR="00565B5C">
        <w:rPr>
          <w:rStyle w:val="Hyperlink"/>
          <w:rFonts w:ascii="Times New Roman" w:eastAsia="Arial Unicode MS" w:hAnsi="Times New Roman" w:cs="Times New Roman"/>
          <w:color w:val="auto"/>
          <w:sz w:val="24"/>
          <w:szCs w:val="24"/>
          <w:u w:val="none"/>
        </w:rPr>
        <w:t xml:space="preserve"> for the renewal of the Porgera Gold Mine Project’s MDC. </w:t>
      </w:r>
    </w:p>
    <w:p w:rsidR="00AD6335" w:rsidRPr="002B57CA" w:rsidRDefault="00AD6335" w:rsidP="005D6440">
      <w:pPr>
        <w:pStyle w:val="NoSpacing"/>
        <w:jc w:val="both"/>
        <w:rPr>
          <w:rFonts w:ascii="Times New Roman" w:hAnsi="Times New Roman" w:cs="Times New Roman"/>
          <w:b/>
          <w:sz w:val="32"/>
          <w:szCs w:val="48"/>
        </w:rPr>
      </w:pPr>
    </w:p>
    <w:p w:rsidR="00E52329" w:rsidRDefault="00E52329" w:rsidP="005D6440">
      <w:pPr>
        <w:pStyle w:val="NoSpacing"/>
        <w:spacing w:line="360" w:lineRule="auto"/>
        <w:jc w:val="both"/>
        <w:rPr>
          <w:rFonts w:ascii="Times New Roman" w:hAnsi="Times New Roman"/>
          <w:sz w:val="24"/>
          <w:szCs w:val="24"/>
        </w:rPr>
      </w:pPr>
    </w:p>
    <w:p w:rsidR="00CF3B0B" w:rsidRDefault="00CF3B0B" w:rsidP="005D6440">
      <w:pPr>
        <w:pStyle w:val="NoSpacing"/>
        <w:jc w:val="both"/>
      </w:pPr>
    </w:p>
    <w:p w:rsidR="009F5084" w:rsidRDefault="009F5084" w:rsidP="005D6440">
      <w:pPr>
        <w:pStyle w:val="NoSpacing"/>
        <w:jc w:val="both"/>
      </w:pPr>
    </w:p>
    <w:p w:rsidR="009F5084" w:rsidRDefault="009F5084" w:rsidP="005D6440">
      <w:pPr>
        <w:pStyle w:val="NoSpacing"/>
        <w:jc w:val="both"/>
      </w:pPr>
    </w:p>
    <w:p w:rsidR="009F5084" w:rsidRDefault="009F5084">
      <w:r>
        <w:br w:type="page"/>
      </w:r>
    </w:p>
    <w:p w:rsidR="009F5084" w:rsidRPr="002B41D1" w:rsidRDefault="009F5084" w:rsidP="009F5084">
      <w:pPr>
        <w:ind w:left="-1800"/>
        <w:rPr>
          <w:color w:val="000000"/>
        </w:rPr>
      </w:pPr>
      <w:r w:rsidRPr="009F5084">
        <w:rPr>
          <w:noProof/>
          <w:color w:val="000000"/>
          <w:lang w:eastAsia="en-AU"/>
        </w:rPr>
        <w:lastRenderedPageBreak/>
        <mc:AlternateContent>
          <mc:Choice Requires="wps">
            <w:drawing>
              <wp:anchor distT="91440" distB="91440" distL="114300" distR="114300" simplePos="0" relativeHeight="251658240" behindDoc="0" locked="0" layoutInCell="0" allowOverlap="1" wp14:anchorId="22544BF7" wp14:editId="16F308A4">
                <wp:simplePos x="0" y="0"/>
                <wp:positionH relativeFrom="margin">
                  <wp:posOffset>3622040</wp:posOffset>
                </wp:positionH>
                <wp:positionV relativeFrom="margin">
                  <wp:posOffset>-433705</wp:posOffset>
                </wp:positionV>
                <wp:extent cx="2239010" cy="2120900"/>
                <wp:effectExtent l="38100" t="38100" r="88900" b="9969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120900"/>
                        </a:xfrm>
                        <a:prstGeom prst="rect">
                          <a:avLst/>
                        </a:prstGeom>
                        <a:solidFill>
                          <a:schemeClr val="bg1"/>
                        </a:solidFill>
                        <a:ln w="19050">
                          <a:noFill/>
                          <a:miter lim="800000"/>
                          <a:headEnd/>
                          <a:tailEnd/>
                        </a:ln>
                        <a:effectLst>
                          <a:outerShdw blurRad="50800" dist="38100" dir="2700000" sx="100500" sy="100500" algn="tl" rotWithShape="0">
                            <a:prstClr val="black">
                              <a:alpha val="40000"/>
                            </a:prstClr>
                          </a:outerShdw>
                        </a:effectLst>
                      </wps:spPr>
                      <wps:txbx>
                        <w:txbxContent>
                          <w:p w:rsidR="009F5084" w:rsidRDefault="009F5084" w:rsidP="009F5084">
                            <w:pPr>
                              <w:pStyle w:val="NoSpacing"/>
                              <w:rPr>
                                <w:rFonts w:ascii="Century Gothic" w:hAnsi="Century Gothic"/>
                              </w:rPr>
                            </w:pPr>
                            <w:r w:rsidRPr="009F5084">
                              <w:rPr>
                                <w:rFonts w:ascii="Century Gothic" w:hAnsi="Century Gothic"/>
                              </w:rPr>
                              <w:t>P.O. BOX 100,</w:t>
                            </w:r>
                          </w:p>
                          <w:p w:rsidR="009F5084" w:rsidRDefault="009F5084" w:rsidP="009F5084">
                            <w:pPr>
                              <w:pStyle w:val="NoSpacing"/>
                              <w:rPr>
                                <w:rFonts w:ascii="Century Gothic" w:hAnsi="Century Gothic"/>
                                <w:b/>
                                <w:u w:val="single"/>
                              </w:rPr>
                            </w:pPr>
                            <w:r>
                              <w:rPr>
                                <w:rFonts w:ascii="Century Gothic" w:hAnsi="Century Gothic"/>
                                <w:b/>
                                <w:u w:val="single"/>
                              </w:rPr>
                              <w:t>PORGERA</w:t>
                            </w:r>
                          </w:p>
                          <w:p w:rsidR="009F5084" w:rsidRDefault="009F5084" w:rsidP="009F5084">
                            <w:pPr>
                              <w:pStyle w:val="NoSpacing"/>
                              <w:rPr>
                                <w:rFonts w:ascii="Century Gothic" w:hAnsi="Century Gothic"/>
                              </w:rPr>
                            </w:pPr>
                            <w:r>
                              <w:rPr>
                                <w:rFonts w:ascii="Century Gothic" w:hAnsi="Century Gothic"/>
                              </w:rPr>
                              <w:t xml:space="preserve">ENGA PROVINCE </w:t>
                            </w:r>
                          </w:p>
                          <w:p w:rsidR="009F5084" w:rsidRPr="009F5084" w:rsidRDefault="009F5084" w:rsidP="009F5084">
                            <w:pPr>
                              <w:pStyle w:val="NoSpacing"/>
                              <w:rPr>
                                <w:rFonts w:ascii="Century Gothic" w:hAnsi="Century Gothic"/>
                              </w:rPr>
                            </w:pPr>
                            <w:r>
                              <w:rPr>
                                <w:rFonts w:ascii="Century Gothic" w:hAnsi="Century Gothic"/>
                              </w:rPr>
                              <w:t>PAPUA NEW GUINEA</w:t>
                            </w: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id="Rectangle 396" o:spid="_x0000_s1026" style="position:absolute;left:0;text-align:left;margin-left:285.2pt;margin-top:-34.15pt;width:176.3pt;height:167pt;flip:x;z-index:251658240;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" o:allowincell="f" fillcolor="white [3212]" stroked="f" strokeweight="1.5pt">
                <v:shadow on="t" type="perspective" color="black" opacity="26214f" origin="-.5,-.5" offset=".74836mm,.74836mm" matrix="65864f,,,65864f"/>
                <v:textbox style="mso-fit-shape-to-text:t" inset="21.6pt,21.6pt,21.6pt,21.6pt">
                  <w:txbxContent>
                    <w:p w:rsidR="009F5084" w:rsidRDefault="009F5084" w:rsidP="009F5084">
                      <w:pPr>
                        <w:pStyle w:val="NoSpacing"/>
                        <w:rPr>
                          <w:rFonts w:ascii="Century Gothic" w:hAnsi="Century Gothic"/>
                        </w:rPr>
                      </w:pPr>
                      <w:r w:rsidRPr="009F5084">
                        <w:rPr>
                          <w:rFonts w:ascii="Century Gothic" w:hAnsi="Century Gothic"/>
                        </w:rPr>
                        <w:t>P.O. BOX 100,</w:t>
                      </w:r>
                    </w:p>
                    <w:p w:rsidR="009F5084" w:rsidRDefault="009F5084" w:rsidP="009F5084">
                      <w:pPr>
                        <w:pStyle w:val="NoSpacing"/>
                        <w:rPr>
                          <w:rFonts w:ascii="Century Gothic" w:hAnsi="Century Gothic"/>
                          <w:b/>
                          <w:u w:val="single"/>
                        </w:rPr>
                      </w:pPr>
                      <w:r>
                        <w:rPr>
                          <w:rFonts w:ascii="Century Gothic" w:hAnsi="Century Gothic"/>
                          <w:b/>
                          <w:u w:val="single"/>
                        </w:rPr>
                        <w:t>PORGERA</w:t>
                      </w:r>
                    </w:p>
                    <w:p w:rsidR="009F5084" w:rsidRDefault="009F5084" w:rsidP="009F5084">
                      <w:pPr>
                        <w:pStyle w:val="NoSpacing"/>
                        <w:rPr>
                          <w:rFonts w:ascii="Century Gothic" w:hAnsi="Century Gothic"/>
                        </w:rPr>
                      </w:pPr>
                      <w:r>
                        <w:rPr>
                          <w:rFonts w:ascii="Century Gothic" w:hAnsi="Century Gothic"/>
                        </w:rPr>
                        <w:t xml:space="preserve">ENGA PROVINCE </w:t>
                      </w:r>
                    </w:p>
                    <w:p w:rsidR="009F5084" w:rsidRPr="009F5084" w:rsidRDefault="009F5084" w:rsidP="009F5084">
                      <w:pPr>
                        <w:pStyle w:val="NoSpacing"/>
                        <w:rPr>
                          <w:rFonts w:ascii="Century Gothic" w:hAnsi="Century Gothic"/>
                        </w:rPr>
                      </w:pPr>
                      <w:r>
                        <w:rPr>
                          <w:rFonts w:ascii="Century Gothic" w:hAnsi="Century Gothic"/>
                        </w:rPr>
                        <w:t>PAPUA NEW GUINEA</w:t>
                      </w:r>
                    </w:p>
                  </w:txbxContent>
                </v:textbox>
                <w10:wrap type="square" anchorx="margin" anchory="margin"/>
              </v:rect>
            </w:pict>
          </mc:Fallback>
        </mc:AlternateContent>
      </w:r>
      <w:r w:rsidR="002F64E5">
        <w:rPr>
          <w:noProof/>
          <w:color w:val="000000"/>
        </w:rPr>
        <w:pict>
          <v:shape id="_x0000_s1026" type="#_x0000_t144" style="position:absolute;left:0;text-align:left;margin-left:-9.15pt;margin-top:-2.3pt;width:140.55pt;height:126pt;z-index:-251657216;mso-position-horizontal-relative:text;mso-position-vertical-relative:text" o:allowincell="f" adj="11523069" fillcolor="blue" strokecolor="blue">
            <v:shadow color="#868686"/>
            <v:textpath style="font-family:&quot;Calligrapher&quot;;font-size:12pt" fitshape="t" trim="t" string="AKALI TANGE"/>
          </v:shape>
        </w:pict>
      </w:r>
    </w:p>
    <w:p w:rsidR="009F5084" w:rsidRPr="00351902" w:rsidRDefault="009F5084" w:rsidP="009F5084">
      <w:pPr>
        <w:ind w:left="-1800"/>
        <w:rPr>
          <w:color w:val="000000"/>
        </w:rPr>
      </w:pPr>
      <w:r w:rsidRPr="00351902">
        <w:rPr>
          <w:noProof/>
          <w:color w:val="000000"/>
          <w:sz w:val="28"/>
          <w:szCs w:val="28"/>
          <w:lang w:eastAsia="en-AU"/>
        </w:rPr>
        <w:drawing>
          <wp:anchor distT="0" distB="0" distL="114300" distR="114300" simplePos="0" relativeHeight="251656192" behindDoc="0" locked="0" layoutInCell="0" allowOverlap="1" wp14:anchorId="049F411E" wp14:editId="6C91BE96">
            <wp:simplePos x="0" y="0"/>
            <wp:positionH relativeFrom="column">
              <wp:posOffset>251460</wp:posOffset>
            </wp:positionH>
            <wp:positionV relativeFrom="paragraph">
              <wp:posOffset>57785</wp:posOffset>
            </wp:positionV>
            <wp:extent cx="1066800" cy="547370"/>
            <wp:effectExtent l="0" t="0" r="0" b="5080"/>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800" cy="547370"/>
                    </a:xfrm>
                    <a:prstGeom prst="rect">
                      <a:avLst/>
                    </a:prstGeom>
                    <a:noFill/>
                  </pic:spPr>
                </pic:pic>
              </a:graphicData>
            </a:graphic>
            <wp14:sizeRelH relativeFrom="margin">
              <wp14:pctWidth>0</wp14:pctWidth>
            </wp14:sizeRelH>
          </wp:anchor>
        </w:drawing>
      </w:r>
      <w:r w:rsidRPr="002B41D1">
        <w:rPr>
          <w:color w:val="000000"/>
        </w:rPr>
        <w:tab/>
      </w:r>
      <w:r w:rsidRPr="002B41D1">
        <w:rPr>
          <w:color w:val="000000"/>
        </w:rPr>
        <w:tab/>
      </w:r>
    </w:p>
    <w:p w:rsidR="009F5084" w:rsidRPr="00351902" w:rsidRDefault="003C603A" w:rsidP="009F5084">
      <w:pPr>
        <w:ind w:left="7920"/>
        <w:jc w:val="center"/>
        <w:rPr>
          <w:color w:val="000000"/>
          <w:sz w:val="28"/>
          <w:szCs w:val="28"/>
        </w:rPr>
      </w:pPr>
      <w:r>
        <w:rPr>
          <w:color w:val="000000"/>
        </w:rPr>
        <w:t>P.</w:t>
      </w:r>
    </w:p>
    <w:p w:rsidR="009A4E70" w:rsidRPr="009F5084" w:rsidRDefault="009A4E70" w:rsidP="009A4E70">
      <w:pPr>
        <w:pStyle w:val="NoSpacing"/>
        <w:rPr>
          <w:rFonts w:ascii="Century Gothic" w:hAnsi="Century Gothic"/>
        </w:rPr>
      </w:pPr>
      <w:r>
        <w:rPr>
          <w:rFonts w:ascii="Century Gothic" w:hAnsi="Century Gothic"/>
          <w:b/>
          <w:color w:val="000000"/>
        </w:rPr>
        <w:t>ASSOCIATION INC</w:t>
      </w:r>
      <w:r w:rsidR="009F5084" w:rsidRPr="002B41D1">
        <w:rPr>
          <w:color w:val="000000"/>
        </w:rPr>
        <w:tab/>
      </w:r>
      <w:r>
        <w:rPr>
          <w:color w:val="000000"/>
        </w:rPr>
        <w:tab/>
      </w:r>
      <w:r>
        <w:rPr>
          <w:color w:val="000000"/>
        </w:rPr>
        <w:tab/>
      </w:r>
      <w:r>
        <w:rPr>
          <w:color w:val="000000"/>
        </w:rPr>
        <w:tab/>
      </w:r>
      <w:r>
        <w:rPr>
          <w:color w:val="000000"/>
        </w:rPr>
        <w:tab/>
      </w:r>
      <w:r>
        <w:rPr>
          <w:color w:val="000000"/>
        </w:rPr>
        <w:tab/>
      </w:r>
      <w:r w:rsidRPr="009F5084">
        <w:rPr>
          <w:rFonts w:ascii="Century Gothic" w:hAnsi="Century Gothic"/>
        </w:rPr>
        <w:t>Mobile :( 675)70813410</w:t>
      </w:r>
    </w:p>
    <w:p w:rsidR="009A4E70" w:rsidRPr="009F5084" w:rsidRDefault="009F5084" w:rsidP="009A4E70">
      <w:pPr>
        <w:pStyle w:val="NoSpacing"/>
        <w:rPr>
          <w:rFonts w:ascii="Century Gothic" w:hAnsi="Century Gothic"/>
          <w:color w:val="0000FF"/>
        </w:rPr>
      </w:pPr>
      <w:r w:rsidRPr="002B41D1">
        <w:t xml:space="preserve">         </w:t>
      </w:r>
      <w:r w:rsidR="009A4E70">
        <w:tab/>
      </w:r>
      <w:r w:rsidR="009A4E70" w:rsidRPr="009F5084">
        <w:rPr>
          <w:rFonts w:ascii="Century Gothic" w:hAnsi="Century Gothic"/>
          <w:color w:val="0000FF"/>
        </w:rPr>
        <w:t xml:space="preserve">Email: </w:t>
      </w:r>
      <w:hyperlink r:id="rId38" w:history="1">
        <w:r w:rsidR="009A4E70" w:rsidRPr="00EA53B6">
          <w:rPr>
            <w:rStyle w:val="Hyperlink"/>
            <w:rFonts w:ascii="Century Gothic" w:hAnsi="Century Gothic"/>
          </w:rPr>
          <w:t>akalitange_association@yahoo.com/</w:t>
        </w:r>
      </w:hyperlink>
      <w:r w:rsidR="009A4E70">
        <w:rPr>
          <w:rFonts w:ascii="Century Gothic" w:hAnsi="Century Gothic"/>
          <w:color w:val="0000FF"/>
        </w:rPr>
        <w:t xml:space="preserve"> </w:t>
      </w:r>
      <w:r w:rsidR="009A4E70" w:rsidRPr="009F5084">
        <w:rPr>
          <w:rFonts w:ascii="Century Gothic" w:hAnsi="Century Gothic"/>
          <w:color w:val="0000FF"/>
        </w:rPr>
        <w:t>jameswangia@yahoo.com</w:t>
      </w:r>
    </w:p>
    <w:p w:rsidR="009F5084" w:rsidRDefault="009A4E70" w:rsidP="009F5084">
      <w:pPr>
        <w:pStyle w:val="NoSpacing"/>
      </w:pPr>
      <w:r>
        <w:rPr>
          <w:rFonts w:ascii="Calligrapher" w:hAnsi="Calligrapher"/>
          <w:b/>
          <w:noProof/>
          <w:color w:val="000000"/>
          <w:lang w:eastAsia="en-AU"/>
        </w:rPr>
        <mc:AlternateContent>
          <mc:Choice Requires="wps">
            <w:drawing>
              <wp:anchor distT="0" distB="0" distL="114300" distR="114300" simplePos="0" relativeHeight="251657216" behindDoc="0" locked="0" layoutInCell="1" allowOverlap="1" wp14:anchorId="2E498484" wp14:editId="556D97BD">
                <wp:simplePos x="0" y="0"/>
                <wp:positionH relativeFrom="column">
                  <wp:posOffset>-192405</wp:posOffset>
                </wp:positionH>
                <wp:positionV relativeFrom="paragraph">
                  <wp:posOffset>128270</wp:posOffset>
                </wp:positionV>
                <wp:extent cx="6181725" cy="0"/>
                <wp:effectExtent l="57150" t="57150" r="66675" b="5715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81725" cy="0"/>
                        </a:xfrm>
                        <a:prstGeom prst="straightConnector1">
                          <a:avLst/>
                        </a:prstGeom>
                        <a:noFill/>
                        <a:ln w="28575">
                          <a:solidFill>
                            <a:srgbClr val="FF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5.15pt;margin-top:10.1pt;width:486.75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" strokecolor="red" strokeweight="2.25pt">
                <v:stroke startarrow="oval" endarrow="oval"/>
              </v:shape>
            </w:pict>
          </mc:Fallback>
        </mc:AlternateContent>
      </w:r>
      <w:r w:rsidR="009F5084" w:rsidRPr="002B41D1">
        <w:t xml:space="preserve">             </w:t>
      </w:r>
    </w:p>
    <w:p w:rsidR="009F5084" w:rsidRPr="00A83F1E" w:rsidRDefault="009A4E70" w:rsidP="009F5084">
      <w:pPr>
        <w:rPr>
          <w:rFonts w:ascii="Calligrapher" w:hAnsi="Calligrapher"/>
          <w:b/>
          <w:i/>
          <w:color w:val="000000"/>
        </w:rPr>
      </w:pPr>
      <w:r>
        <w:rPr>
          <w:rFonts w:ascii="Calligrapher" w:hAnsi="Calligrapher"/>
          <w:color w:val="000000"/>
        </w:rPr>
        <w:tab/>
      </w:r>
      <w:r>
        <w:rPr>
          <w:rFonts w:ascii="Calligrapher" w:hAnsi="Calligrapher"/>
          <w:color w:val="000000"/>
        </w:rPr>
        <w:tab/>
      </w:r>
      <w:r>
        <w:rPr>
          <w:rFonts w:ascii="Calligrapher" w:hAnsi="Calligrapher"/>
          <w:color w:val="000000"/>
        </w:rPr>
        <w:tab/>
      </w:r>
      <w:r>
        <w:rPr>
          <w:rFonts w:ascii="Calligrapher" w:hAnsi="Calligrapher"/>
          <w:color w:val="000000"/>
        </w:rPr>
        <w:tab/>
      </w:r>
      <w:r>
        <w:rPr>
          <w:rFonts w:ascii="Calligrapher" w:hAnsi="Calligrapher"/>
          <w:color w:val="000000"/>
        </w:rPr>
        <w:tab/>
      </w:r>
      <w:r>
        <w:rPr>
          <w:rFonts w:ascii="Calligrapher" w:hAnsi="Calligrapher"/>
          <w:color w:val="000000"/>
        </w:rPr>
        <w:tab/>
      </w:r>
      <w:r>
        <w:rPr>
          <w:rFonts w:ascii="Calligrapher" w:hAnsi="Calligrapher"/>
          <w:color w:val="000000"/>
        </w:rPr>
        <w:tab/>
      </w:r>
      <w:r>
        <w:rPr>
          <w:rFonts w:ascii="Calligrapher" w:hAnsi="Calligrapher"/>
          <w:color w:val="000000"/>
        </w:rPr>
        <w:tab/>
      </w:r>
      <w:r>
        <w:rPr>
          <w:rFonts w:ascii="Calligrapher" w:hAnsi="Calligrapher"/>
          <w:color w:val="000000"/>
        </w:rPr>
        <w:tab/>
      </w:r>
      <w:r w:rsidR="009F5084" w:rsidRPr="00A83F1E">
        <w:rPr>
          <w:rFonts w:ascii="Century Gothic" w:eastAsiaTheme="minorEastAsia" w:hAnsi="Century Gothic"/>
          <w:b/>
          <w:i/>
          <w:sz w:val="28"/>
          <w:szCs w:val="28"/>
          <w:lang w:val="en-US"/>
        </w:rPr>
        <w:t>28</w:t>
      </w:r>
      <w:r w:rsidR="009F5084" w:rsidRPr="00A83F1E">
        <w:rPr>
          <w:rFonts w:ascii="Century Gothic" w:eastAsiaTheme="minorEastAsia" w:hAnsi="Century Gothic"/>
          <w:b/>
          <w:i/>
          <w:sz w:val="28"/>
          <w:szCs w:val="28"/>
          <w:vertAlign w:val="superscript"/>
          <w:lang w:val="en-US"/>
        </w:rPr>
        <w:t>th</w:t>
      </w:r>
      <w:r w:rsidR="009F5084" w:rsidRPr="00A83F1E">
        <w:rPr>
          <w:rFonts w:ascii="Century Gothic" w:eastAsiaTheme="minorEastAsia" w:hAnsi="Century Gothic"/>
          <w:b/>
          <w:i/>
          <w:sz w:val="28"/>
          <w:szCs w:val="28"/>
          <w:lang w:val="en-US"/>
        </w:rPr>
        <w:t>, April, 2019</w:t>
      </w:r>
    </w:p>
    <w:p w:rsidR="009F5084" w:rsidRDefault="009F5084" w:rsidP="009F5084">
      <w:pPr>
        <w:jc w:val="center"/>
        <w:rPr>
          <w:rFonts w:ascii="Century Gothic" w:eastAsiaTheme="minorEastAsia" w:hAnsi="Century Gothic"/>
          <w:b/>
          <w:sz w:val="48"/>
          <w:szCs w:val="48"/>
          <w:u w:val="single"/>
        </w:rPr>
      </w:pPr>
      <w:r w:rsidRPr="00246C1F">
        <w:rPr>
          <w:rFonts w:ascii="Century Gothic" w:eastAsiaTheme="minorEastAsia" w:hAnsi="Century Gothic"/>
          <w:b/>
          <w:sz w:val="48"/>
          <w:szCs w:val="48"/>
          <w:u w:val="single"/>
        </w:rPr>
        <w:t>PETITIONS</w:t>
      </w:r>
    </w:p>
    <w:p w:rsidR="009A4E70" w:rsidRDefault="009A4E70" w:rsidP="009F5084">
      <w:pPr>
        <w:jc w:val="center"/>
        <w:rPr>
          <w:rFonts w:ascii="Century Gothic" w:eastAsiaTheme="minorEastAsia" w:hAnsi="Century Gothic"/>
          <w:b/>
          <w:sz w:val="48"/>
          <w:szCs w:val="48"/>
          <w:u w:val="single"/>
        </w:rPr>
      </w:pPr>
    </w:p>
    <w:p w:rsidR="009F5084" w:rsidRPr="00246C1F" w:rsidRDefault="009F5084" w:rsidP="009F5084">
      <w:pPr>
        <w:jc w:val="both"/>
        <w:rPr>
          <w:rFonts w:ascii="Century Gothic" w:eastAsiaTheme="minorEastAsia" w:hAnsi="Century Gothic"/>
          <w:b/>
          <w:sz w:val="28"/>
          <w:szCs w:val="28"/>
        </w:rPr>
      </w:pPr>
      <w:r w:rsidRPr="00246C1F">
        <w:rPr>
          <w:rFonts w:ascii="Century Gothic" w:eastAsiaTheme="minorEastAsia" w:hAnsi="Century Gothic"/>
          <w:b/>
          <w:sz w:val="28"/>
          <w:szCs w:val="28"/>
        </w:rPr>
        <w:t>TO: BARRICK NIUGINI LIMITED</w:t>
      </w:r>
    </w:p>
    <w:p w:rsidR="009F5084" w:rsidRPr="00246C1F" w:rsidRDefault="009F5084" w:rsidP="009F5084">
      <w:pPr>
        <w:jc w:val="both"/>
        <w:rPr>
          <w:rFonts w:ascii="Century Gothic" w:eastAsiaTheme="minorEastAsia" w:hAnsi="Century Gothic"/>
          <w:sz w:val="28"/>
          <w:szCs w:val="28"/>
        </w:rPr>
      </w:pPr>
      <w:r w:rsidRPr="00246C1F">
        <w:rPr>
          <w:rFonts w:ascii="Century Gothic" w:eastAsiaTheme="minorEastAsia" w:hAnsi="Century Gothic"/>
          <w:sz w:val="28"/>
          <w:szCs w:val="28"/>
        </w:rPr>
        <w:t xml:space="preserve">       PORGERA JOINT VENTURE</w:t>
      </w:r>
    </w:p>
    <w:p w:rsidR="009F5084" w:rsidRPr="00246C1F" w:rsidRDefault="009F5084" w:rsidP="009F5084">
      <w:pPr>
        <w:jc w:val="both"/>
        <w:rPr>
          <w:rFonts w:ascii="Century Gothic" w:eastAsiaTheme="minorEastAsia" w:hAnsi="Century Gothic"/>
          <w:sz w:val="28"/>
          <w:szCs w:val="28"/>
        </w:rPr>
      </w:pPr>
      <w:r w:rsidRPr="00246C1F">
        <w:rPr>
          <w:rFonts w:ascii="Century Gothic" w:eastAsiaTheme="minorEastAsia" w:hAnsi="Century Gothic"/>
          <w:sz w:val="28"/>
          <w:szCs w:val="28"/>
        </w:rPr>
        <w:t xml:space="preserve">       P.O.BOX 484</w:t>
      </w:r>
    </w:p>
    <w:p w:rsidR="009F5084" w:rsidRPr="00246C1F" w:rsidRDefault="009F5084" w:rsidP="009F5084">
      <w:pPr>
        <w:jc w:val="both"/>
        <w:rPr>
          <w:rFonts w:ascii="Century Gothic" w:eastAsiaTheme="minorEastAsia" w:hAnsi="Century Gothic"/>
          <w:sz w:val="28"/>
          <w:szCs w:val="28"/>
        </w:rPr>
      </w:pPr>
      <w:r w:rsidRPr="00246C1F">
        <w:rPr>
          <w:rFonts w:ascii="Century Gothic" w:eastAsiaTheme="minorEastAsia" w:hAnsi="Century Gothic"/>
          <w:sz w:val="28"/>
          <w:szCs w:val="28"/>
        </w:rPr>
        <w:t xml:space="preserve">       MT.HAGEN, WHP</w:t>
      </w:r>
    </w:p>
    <w:p w:rsidR="009F5084" w:rsidRPr="00246C1F" w:rsidRDefault="009F5084" w:rsidP="009F5084">
      <w:pPr>
        <w:jc w:val="both"/>
        <w:rPr>
          <w:rFonts w:ascii="Century Gothic" w:eastAsiaTheme="minorEastAsia" w:hAnsi="Century Gothic"/>
          <w:sz w:val="28"/>
          <w:szCs w:val="28"/>
        </w:rPr>
      </w:pPr>
      <w:r w:rsidRPr="00246C1F">
        <w:rPr>
          <w:rFonts w:ascii="Century Gothic" w:eastAsiaTheme="minorEastAsia" w:hAnsi="Century Gothic"/>
          <w:sz w:val="28"/>
          <w:szCs w:val="28"/>
        </w:rPr>
        <w:t xml:space="preserve">       </w:t>
      </w:r>
      <w:r>
        <w:rPr>
          <w:rFonts w:ascii="Century Gothic" w:eastAsiaTheme="minorEastAsia" w:hAnsi="Century Gothic"/>
          <w:sz w:val="28"/>
          <w:szCs w:val="28"/>
        </w:rPr>
        <w:t xml:space="preserve">Attention: Peter Sinclair and </w:t>
      </w:r>
      <w:proofErr w:type="gramStart"/>
      <w:r>
        <w:rPr>
          <w:rFonts w:ascii="Century Gothic" w:eastAsiaTheme="minorEastAsia" w:hAnsi="Century Gothic"/>
          <w:sz w:val="28"/>
          <w:szCs w:val="28"/>
        </w:rPr>
        <w:t>Ila</w:t>
      </w:r>
      <w:proofErr w:type="gramEnd"/>
      <w:r>
        <w:rPr>
          <w:rFonts w:ascii="Century Gothic" w:eastAsiaTheme="minorEastAsia" w:hAnsi="Century Gothic"/>
          <w:sz w:val="28"/>
          <w:szCs w:val="28"/>
        </w:rPr>
        <w:t xml:space="preserve"> </w:t>
      </w:r>
      <w:proofErr w:type="spellStart"/>
      <w:r>
        <w:rPr>
          <w:rFonts w:ascii="Century Gothic" w:eastAsiaTheme="minorEastAsia" w:hAnsi="Century Gothic"/>
          <w:sz w:val="28"/>
          <w:szCs w:val="28"/>
        </w:rPr>
        <w:t>Temu</w:t>
      </w:r>
      <w:proofErr w:type="spellEnd"/>
    </w:p>
    <w:p w:rsidR="009A4E70" w:rsidRDefault="009A4E70" w:rsidP="009F5084">
      <w:pPr>
        <w:pStyle w:val="NoSpacing"/>
        <w:rPr>
          <w:rFonts w:ascii="Century Gothic" w:eastAsiaTheme="minorEastAsia" w:hAnsi="Century Gothic"/>
          <w:b/>
        </w:rPr>
      </w:pPr>
    </w:p>
    <w:p w:rsidR="009F5084" w:rsidRPr="009A4E70" w:rsidRDefault="009F5084" w:rsidP="009F5084">
      <w:pPr>
        <w:pStyle w:val="NoSpacing"/>
        <w:rPr>
          <w:rFonts w:ascii="Century Gothic" w:eastAsiaTheme="minorEastAsia" w:hAnsi="Century Gothic"/>
          <w:b/>
          <w:sz w:val="24"/>
        </w:rPr>
      </w:pPr>
      <w:r w:rsidRPr="00246C1F">
        <w:rPr>
          <w:rFonts w:ascii="Century Gothic" w:eastAsiaTheme="minorEastAsia" w:hAnsi="Century Gothic"/>
          <w:b/>
        </w:rPr>
        <w:t xml:space="preserve">FROM: </w:t>
      </w:r>
      <w:r w:rsidRPr="009A4E70">
        <w:rPr>
          <w:rFonts w:ascii="Century Gothic" w:eastAsiaTheme="minorEastAsia" w:hAnsi="Century Gothic"/>
          <w:b/>
          <w:sz w:val="28"/>
        </w:rPr>
        <w:t xml:space="preserve">AKALI TANGE ASSOCIATION </w:t>
      </w:r>
      <w:r w:rsidR="009A4E70">
        <w:rPr>
          <w:rFonts w:ascii="Century Gothic" w:eastAsiaTheme="minorEastAsia" w:hAnsi="Century Gothic"/>
          <w:b/>
          <w:sz w:val="28"/>
        </w:rPr>
        <w:t xml:space="preserve">(ATA) </w:t>
      </w:r>
      <w:r w:rsidRPr="009A4E70">
        <w:rPr>
          <w:rFonts w:ascii="Century Gothic" w:eastAsiaTheme="minorEastAsia" w:hAnsi="Century Gothic"/>
          <w:b/>
          <w:sz w:val="28"/>
        </w:rPr>
        <w:t>INC</w:t>
      </w:r>
      <w:r w:rsidR="009A4E70">
        <w:rPr>
          <w:rFonts w:ascii="Century Gothic" w:eastAsiaTheme="minorEastAsia" w:hAnsi="Century Gothic"/>
          <w:b/>
          <w:sz w:val="28"/>
        </w:rPr>
        <w:t xml:space="preserve"> </w:t>
      </w:r>
    </w:p>
    <w:p w:rsidR="009F5084" w:rsidRPr="009A4E70" w:rsidRDefault="009F5084" w:rsidP="009A4E70">
      <w:pPr>
        <w:pStyle w:val="NoSpacing"/>
        <w:rPr>
          <w:rFonts w:ascii="Century Gothic" w:hAnsi="Century Gothic"/>
          <w:sz w:val="28"/>
          <w:szCs w:val="28"/>
        </w:rPr>
      </w:pPr>
      <w:r w:rsidRPr="00246C1F">
        <w:tab/>
      </w:r>
      <w:r w:rsidRPr="009A4E70">
        <w:rPr>
          <w:rFonts w:ascii="Century Gothic" w:hAnsi="Century Gothic"/>
          <w:sz w:val="28"/>
          <w:szCs w:val="28"/>
        </w:rPr>
        <w:t>P.O.BOX 100</w:t>
      </w:r>
    </w:p>
    <w:p w:rsidR="009F5084" w:rsidRPr="009A4E70" w:rsidRDefault="009F5084" w:rsidP="009A4E70">
      <w:pPr>
        <w:pStyle w:val="NoSpacing"/>
        <w:rPr>
          <w:rFonts w:ascii="Century Gothic" w:hAnsi="Century Gothic"/>
          <w:sz w:val="28"/>
          <w:szCs w:val="28"/>
        </w:rPr>
      </w:pPr>
      <w:r w:rsidRPr="009A4E70">
        <w:rPr>
          <w:rFonts w:ascii="Century Gothic" w:hAnsi="Century Gothic"/>
          <w:sz w:val="28"/>
          <w:szCs w:val="28"/>
        </w:rPr>
        <w:tab/>
        <w:t>PORGERA, ENGA PROVINCE</w:t>
      </w:r>
    </w:p>
    <w:p w:rsidR="009A4E70" w:rsidRDefault="009A4E70" w:rsidP="009F5084">
      <w:pPr>
        <w:jc w:val="both"/>
        <w:rPr>
          <w:rFonts w:eastAsiaTheme="minorEastAsia"/>
          <w:sz w:val="28"/>
          <w:szCs w:val="28"/>
        </w:rPr>
      </w:pPr>
    </w:p>
    <w:p w:rsidR="009F5084" w:rsidRPr="0064630B" w:rsidRDefault="009F5084" w:rsidP="009F5084">
      <w:pPr>
        <w:jc w:val="both"/>
        <w:rPr>
          <w:rFonts w:eastAsiaTheme="minorEastAsia"/>
          <w:sz w:val="28"/>
          <w:szCs w:val="28"/>
        </w:rPr>
      </w:pPr>
      <w:r w:rsidRPr="0064630B">
        <w:rPr>
          <w:rFonts w:eastAsiaTheme="minorEastAsia"/>
          <w:sz w:val="28"/>
          <w:szCs w:val="28"/>
        </w:rPr>
        <w:t>Dear Sir,</w:t>
      </w:r>
    </w:p>
    <w:p w:rsidR="009F5084" w:rsidRPr="00DE358C" w:rsidRDefault="009F5084" w:rsidP="009F5084">
      <w:pPr>
        <w:jc w:val="both"/>
        <w:rPr>
          <w:rFonts w:eastAsiaTheme="minorEastAsia"/>
          <w:b/>
          <w:sz w:val="28"/>
          <w:szCs w:val="28"/>
        </w:rPr>
      </w:pPr>
      <w:r w:rsidRPr="00DE358C">
        <w:rPr>
          <w:rFonts w:eastAsiaTheme="minorEastAsia"/>
          <w:sz w:val="28"/>
          <w:szCs w:val="28"/>
        </w:rPr>
        <w:t xml:space="preserve">  </w:t>
      </w:r>
      <w:r w:rsidRPr="00DE358C">
        <w:rPr>
          <w:rFonts w:eastAsiaTheme="minorEastAsia"/>
          <w:b/>
          <w:sz w:val="28"/>
          <w:szCs w:val="28"/>
          <w:u w:val="single"/>
        </w:rPr>
        <w:t>SUBJECT:</w:t>
      </w:r>
      <w:r w:rsidRPr="00DE358C">
        <w:rPr>
          <w:rFonts w:eastAsiaTheme="minorEastAsia"/>
          <w:b/>
          <w:sz w:val="28"/>
          <w:szCs w:val="28"/>
        </w:rPr>
        <w:t xml:space="preserve"> </w:t>
      </w:r>
      <w:r>
        <w:rPr>
          <w:rFonts w:eastAsiaTheme="minorEastAsia"/>
          <w:b/>
          <w:sz w:val="28"/>
          <w:szCs w:val="28"/>
        </w:rPr>
        <w:tab/>
      </w:r>
      <w:r>
        <w:rPr>
          <w:rFonts w:eastAsiaTheme="minorEastAsia"/>
          <w:b/>
          <w:sz w:val="28"/>
          <w:szCs w:val="28"/>
        </w:rPr>
        <w:tab/>
      </w:r>
      <w:r w:rsidRPr="00DE358C">
        <w:rPr>
          <w:rFonts w:eastAsiaTheme="minorEastAsia"/>
          <w:b/>
          <w:sz w:val="28"/>
          <w:szCs w:val="28"/>
          <w:u w:val="single"/>
        </w:rPr>
        <w:t>PETITION TO BARRICK NIUGINI LIMITED ON BEHALF PJV</w:t>
      </w:r>
    </w:p>
    <w:p w:rsidR="009F5084" w:rsidRPr="0064630B" w:rsidRDefault="009F5084" w:rsidP="009F5084">
      <w:pPr>
        <w:ind w:left="360"/>
        <w:jc w:val="both"/>
        <w:rPr>
          <w:rFonts w:ascii="Century Gothic" w:eastAsiaTheme="minorEastAsia" w:hAnsi="Century Gothic"/>
          <w:sz w:val="28"/>
          <w:szCs w:val="28"/>
        </w:rPr>
      </w:pPr>
      <w:r w:rsidRPr="0064630B">
        <w:rPr>
          <w:rFonts w:ascii="Century Gothic" w:eastAsiaTheme="minorEastAsia" w:hAnsi="Century Gothic"/>
          <w:sz w:val="28"/>
          <w:szCs w:val="28"/>
        </w:rPr>
        <w:t xml:space="preserve">ATA is petitioning Barrick Niugini Limited on behalf of Porgera Joint Venture on the following very vital reasons. On the common understanding, ATA </w:t>
      </w:r>
      <w:r>
        <w:rPr>
          <w:rFonts w:ascii="Century Gothic" w:eastAsiaTheme="minorEastAsia" w:hAnsi="Century Gothic"/>
          <w:sz w:val="28"/>
          <w:szCs w:val="28"/>
        </w:rPr>
        <w:t xml:space="preserve">members and </w:t>
      </w:r>
      <w:r w:rsidRPr="0064630B">
        <w:rPr>
          <w:rFonts w:ascii="Century Gothic" w:eastAsiaTheme="minorEastAsia" w:hAnsi="Century Gothic"/>
          <w:sz w:val="28"/>
          <w:szCs w:val="28"/>
        </w:rPr>
        <w:t xml:space="preserve">stakeholders would like to hear your respond after </w:t>
      </w:r>
      <w:r>
        <w:rPr>
          <w:rFonts w:ascii="Century Gothic" w:eastAsiaTheme="minorEastAsia" w:hAnsi="Century Gothic"/>
          <w:sz w:val="28"/>
          <w:szCs w:val="28"/>
        </w:rPr>
        <w:t xml:space="preserve">three (3) weeks from </w:t>
      </w:r>
      <w:r w:rsidRPr="0064630B">
        <w:rPr>
          <w:rFonts w:ascii="Century Gothic" w:eastAsiaTheme="minorEastAsia" w:hAnsi="Century Gothic"/>
          <w:sz w:val="28"/>
          <w:szCs w:val="28"/>
        </w:rPr>
        <w:t>this date.</w:t>
      </w:r>
    </w:p>
    <w:p w:rsidR="009F5084" w:rsidRDefault="009F5084" w:rsidP="009F5084">
      <w:pPr>
        <w:ind w:left="360"/>
        <w:jc w:val="both"/>
        <w:rPr>
          <w:rFonts w:ascii="Century Gothic" w:eastAsiaTheme="minorEastAsia" w:hAnsi="Century Gothic"/>
          <w:sz w:val="28"/>
          <w:szCs w:val="28"/>
        </w:rPr>
      </w:pPr>
      <w:r w:rsidRPr="0064630B">
        <w:rPr>
          <w:rFonts w:ascii="Century Gothic" w:eastAsiaTheme="minorEastAsia" w:hAnsi="Century Gothic"/>
          <w:sz w:val="28"/>
          <w:szCs w:val="28"/>
        </w:rPr>
        <w:t xml:space="preserve">Barrick Niugini Limited must tell the </w:t>
      </w:r>
      <w:r>
        <w:rPr>
          <w:rFonts w:ascii="Century Gothic" w:eastAsiaTheme="minorEastAsia" w:hAnsi="Century Gothic"/>
          <w:sz w:val="28"/>
          <w:szCs w:val="28"/>
        </w:rPr>
        <w:t xml:space="preserve">custodians and </w:t>
      </w:r>
      <w:r w:rsidRPr="0064630B">
        <w:rPr>
          <w:rFonts w:ascii="Century Gothic" w:eastAsiaTheme="minorEastAsia" w:hAnsi="Century Gothic"/>
          <w:sz w:val="28"/>
          <w:szCs w:val="28"/>
        </w:rPr>
        <w:t>stakeholders of the deceases, injured and rape</w:t>
      </w:r>
      <w:r>
        <w:rPr>
          <w:rFonts w:ascii="Century Gothic" w:eastAsiaTheme="minorEastAsia" w:hAnsi="Century Gothic"/>
          <w:sz w:val="28"/>
          <w:szCs w:val="28"/>
        </w:rPr>
        <w:t xml:space="preserve"> or gang-rape</w:t>
      </w:r>
      <w:r w:rsidRPr="0064630B">
        <w:rPr>
          <w:rFonts w:ascii="Century Gothic" w:eastAsiaTheme="minorEastAsia" w:hAnsi="Century Gothic"/>
          <w:sz w:val="28"/>
          <w:szCs w:val="28"/>
        </w:rPr>
        <w:t xml:space="preserve"> victims that,</w:t>
      </w:r>
    </w:p>
    <w:p w:rsidR="009F5084" w:rsidRPr="009A4E70" w:rsidRDefault="009F5084" w:rsidP="009A4E70">
      <w:pPr>
        <w:pStyle w:val="ListParagraph"/>
        <w:numPr>
          <w:ilvl w:val="0"/>
          <w:numId w:val="5"/>
        </w:numPr>
        <w:jc w:val="both"/>
        <w:rPr>
          <w:rFonts w:ascii="Century Gothic" w:eastAsiaTheme="minorEastAsia" w:hAnsi="Century Gothic"/>
          <w:sz w:val="28"/>
          <w:szCs w:val="28"/>
          <w:lang w:eastAsia="ii-CN"/>
        </w:rPr>
      </w:pPr>
      <w:r w:rsidRPr="009A4E70">
        <w:rPr>
          <w:rFonts w:ascii="Century Gothic" w:eastAsiaTheme="minorEastAsia" w:hAnsi="Century Gothic"/>
          <w:sz w:val="28"/>
          <w:szCs w:val="28"/>
          <w:lang w:eastAsia="ii-CN"/>
        </w:rPr>
        <w:lastRenderedPageBreak/>
        <w:t xml:space="preserve">Since the Mining </w:t>
      </w:r>
      <w:r w:rsidR="009A4E70">
        <w:rPr>
          <w:rFonts w:ascii="Century Gothic" w:eastAsiaTheme="minorEastAsia" w:hAnsi="Century Gothic"/>
          <w:sz w:val="28"/>
          <w:szCs w:val="28"/>
          <w:lang w:eastAsia="ii-CN"/>
        </w:rPr>
        <w:t>Development Contract</w:t>
      </w:r>
      <w:r w:rsidRPr="009A4E70">
        <w:rPr>
          <w:rFonts w:ascii="Century Gothic" w:eastAsiaTheme="minorEastAsia" w:hAnsi="Century Gothic"/>
          <w:sz w:val="28"/>
          <w:szCs w:val="28"/>
          <w:lang w:eastAsia="ii-CN"/>
        </w:rPr>
        <w:t xml:space="preserve"> of the Porgera Special Mining Lease is expiring in May, 2019, can Barrick Niugini Limited tell the Akali Tange Association (ATA) and other stakeholders of the position or the status of the outstanding and ongoing Porgera Human Rights Violations?</w:t>
      </w:r>
    </w:p>
    <w:p w:rsidR="009F5084" w:rsidRPr="00363B4A" w:rsidRDefault="009F5084" w:rsidP="009F5084">
      <w:pPr>
        <w:pStyle w:val="ListParagraph"/>
        <w:rPr>
          <w:rFonts w:ascii="Century Gothic" w:eastAsiaTheme="minorEastAsia" w:hAnsi="Century Gothic"/>
          <w:sz w:val="28"/>
          <w:szCs w:val="28"/>
          <w:lang w:eastAsia="ii-CN"/>
        </w:rPr>
      </w:pPr>
    </w:p>
    <w:p w:rsidR="009F5084" w:rsidRDefault="009F5084" w:rsidP="009F5084">
      <w:pPr>
        <w:pStyle w:val="ListParagraph"/>
        <w:numPr>
          <w:ilvl w:val="0"/>
          <w:numId w:val="5"/>
        </w:numPr>
        <w:jc w:val="both"/>
        <w:rPr>
          <w:rFonts w:ascii="Century Gothic" w:eastAsiaTheme="minorEastAsia" w:hAnsi="Century Gothic"/>
          <w:sz w:val="28"/>
          <w:szCs w:val="28"/>
          <w:lang w:eastAsia="ii-CN"/>
        </w:rPr>
      </w:pPr>
      <w:r>
        <w:rPr>
          <w:rFonts w:ascii="Century Gothic" w:eastAsiaTheme="minorEastAsia" w:hAnsi="Century Gothic"/>
          <w:sz w:val="28"/>
          <w:szCs w:val="28"/>
          <w:lang w:eastAsia="ii-CN"/>
        </w:rPr>
        <w:t xml:space="preserve">The Porgera Human Rights Violations’ remedy pathway have been fully identified by the latest and most popular BNL Commissioned BSR Report 2018, </w:t>
      </w:r>
      <w:r w:rsidRPr="003A055A">
        <w:rPr>
          <w:rFonts w:ascii="Century Gothic" w:eastAsiaTheme="minorEastAsia" w:hAnsi="Century Gothic"/>
          <w:b/>
          <w:sz w:val="28"/>
          <w:szCs w:val="28"/>
          <w:lang w:eastAsia="ii-CN"/>
        </w:rPr>
        <w:t xml:space="preserve">In Search of Justice – </w:t>
      </w:r>
      <w:r w:rsidRPr="003A055A">
        <w:rPr>
          <w:rFonts w:ascii="Century Gothic" w:eastAsiaTheme="minorEastAsia" w:hAnsi="Century Gothic"/>
          <w:b/>
          <w:i/>
          <w:sz w:val="28"/>
          <w:szCs w:val="28"/>
          <w:lang w:eastAsia="ii-CN"/>
        </w:rPr>
        <w:t>Pathways to Remedy at the Porgera Gold Mine.</w:t>
      </w:r>
      <w:r>
        <w:rPr>
          <w:rFonts w:ascii="Century Gothic" w:eastAsiaTheme="minorEastAsia" w:hAnsi="Century Gothic"/>
          <w:sz w:val="28"/>
          <w:szCs w:val="28"/>
          <w:lang w:eastAsia="ii-CN"/>
        </w:rPr>
        <w:t xml:space="preserve"> However, BNL, due to reasons known to </w:t>
      </w:r>
      <w:proofErr w:type="gramStart"/>
      <w:r>
        <w:rPr>
          <w:rFonts w:ascii="Century Gothic" w:eastAsiaTheme="minorEastAsia" w:hAnsi="Century Gothic"/>
          <w:sz w:val="28"/>
          <w:szCs w:val="28"/>
          <w:lang w:eastAsia="ii-CN"/>
        </w:rPr>
        <w:t>itself</w:t>
      </w:r>
      <w:proofErr w:type="gramEnd"/>
      <w:r>
        <w:rPr>
          <w:rFonts w:ascii="Century Gothic" w:eastAsiaTheme="minorEastAsia" w:hAnsi="Century Gothic"/>
          <w:sz w:val="28"/>
          <w:szCs w:val="28"/>
          <w:lang w:eastAsia="ii-CN"/>
        </w:rPr>
        <w:t>, has ceased all progress of the recommendations and findings of the report in November, 2018. Since then, BNL has remained silent to calls to recommence work on the BSR Report by ATA. Therefore, can the BNL tell ATA and all other stakeholders as to when and how to go about the progress of the popular BSR Report’s recommendations and findings?</w:t>
      </w:r>
    </w:p>
    <w:p w:rsidR="009F5084" w:rsidRPr="003A055A" w:rsidRDefault="009F5084" w:rsidP="009F5084">
      <w:pPr>
        <w:pStyle w:val="ListParagraph"/>
        <w:rPr>
          <w:rFonts w:ascii="Century Gothic" w:eastAsiaTheme="minorEastAsia" w:hAnsi="Century Gothic"/>
          <w:sz w:val="28"/>
          <w:szCs w:val="28"/>
          <w:lang w:eastAsia="ii-CN"/>
        </w:rPr>
      </w:pPr>
    </w:p>
    <w:p w:rsidR="009F5084" w:rsidRDefault="009F5084" w:rsidP="009F5084">
      <w:pPr>
        <w:pStyle w:val="ListParagraph"/>
        <w:numPr>
          <w:ilvl w:val="0"/>
          <w:numId w:val="5"/>
        </w:numPr>
        <w:jc w:val="both"/>
        <w:rPr>
          <w:rFonts w:ascii="Century Gothic" w:eastAsiaTheme="minorEastAsia" w:hAnsi="Century Gothic"/>
          <w:sz w:val="28"/>
          <w:szCs w:val="28"/>
          <w:lang w:eastAsia="ii-CN"/>
        </w:rPr>
      </w:pPr>
      <w:r>
        <w:rPr>
          <w:rFonts w:ascii="Century Gothic" w:eastAsiaTheme="minorEastAsia" w:hAnsi="Century Gothic"/>
          <w:sz w:val="28"/>
          <w:szCs w:val="28"/>
          <w:lang w:eastAsia="ii-CN"/>
        </w:rPr>
        <w:t xml:space="preserve">ATA is seeking redress and </w:t>
      </w:r>
      <w:r w:rsidR="00F50C33">
        <w:rPr>
          <w:rFonts w:ascii="Century Gothic" w:eastAsiaTheme="minorEastAsia" w:hAnsi="Century Gothic"/>
          <w:sz w:val="28"/>
          <w:szCs w:val="28"/>
          <w:lang w:eastAsia="ii-CN"/>
        </w:rPr>
        <w:t>remedies</w:t>
      </w:r>
      <w:r>
        <w:rPr>
          <w:rFonts w:ascii="Century Gothic" w:eastAsiaTheme="minorEastAsia" w:hAnsi="Century Gothic"/>
          <w:sz w:val="28"/>
          <w:szCs w:val="28"/>
          <w:lang w:eastAsia="ii-CN"/>
        </w:rPr>
        <w:t xml:space="preserve"> for all forms of human rights violations and not confined to sexual violence. Therefore, can the BNL tell ATA and all other stakeholders on how and when to process, assess and evaluate all these claims and where merits provide remedies to the claimants?</w:t>
      </w:r>
    </w:p>
    <w:p w:rsidR="009F5084" w:rsidRPr="00D00B21" w:rsidRDefault="009F5084" w:rsidP="009F5084">
      <w:pPr>
        <w:pStyle w:val="ListParagraph"/>
        <w:rPr>
          <w:rFonts w:ascii="Century Gothic" w:eastAsiaTheme="minorEastAsia" w:hAnsi="Century Gothic"/>
          <w:sz w:val="28"/>
          <w:szCs w:val="28"/>
          <w:lang w:eastAsia="ii-CN"/>
        </w:rPr>
      </w:pPr>
    </w:p>
    <w:p w:rsidR="009F5084" w:rsidRPr="005D0145" w:rsidRDefault="009F5084" w:rsidP="009F5084">
      <w:pPr>
        <w:pStyle w:val="ListParagraph"/>
        <w:numPr>
          <w:ilvl w:val="0"/>
          <w:numId w:val="5"/>
        </w:numPr>
        <w:jc w:val="both"/>
        <w:rPr>
          <w:rFonts w:ascii="Century Gothic" w:hAnsi="Century Gothic"/>
        </w:rPr>
      </w:pPr>
      <w:r w:rsidRPr="00D00B21">
        <w:rPr>
          <w:rFonts w:ascii="Century Gothic" w:hAnsi="Century Gothic"/>
          <w:sz w:val="28"/>
          <w:szCs w:val="28"/>
        </w:rPr>
        <w:t xml:space="preserve">ATA is an NGO that has strived to pursue justice and retribution for the victims of Human Rights Violation in Porgera. Since its inception in 2004, ATA has struggled and even limped financially to pursue its goals and objectives as an advocate of human rights. We do note </w:t>
      </w:r>
      <w:r>
        <w:rPr>
          <w:rFonts w:ascii="Century Gothic" w:hAnsi="Century Gothic"/>
          <w:sz w:val="28"/>
          <w:szCs w:val="28"/>
        </w:rPr>
        <w:t>the</w:t>
      </w:r>
      <w:r w:rsidRPr="00D00B21">
        <w:rPr>
          <w:rFonts w:ascii="Century Gothic" w:hAnsi="Century Gothic"/>
          <w:sz w:val="28"/>
          <w:szCs w:val="28"/>
        </w:rPr>
        <w:t xml:space="preserve"> fact </w:t>
      </w:r>
      <w:r>
        <w:rPr>
          <w:rFonts w:ascii="Century Gothic" w:hAnsi="Century Gothic"/>
          <w:sz w:val="28"/>
          <w:szCs w:val="28"/>
        </w:rPr>
        <w:t xml:space="preserve">that </w:t>
      </w:r>
      <w:r w:rsidRPr="00D00B21">
        <w:rPr>
          <w:rFonts w:ascii="Century Gothic" w:hAnsi="Century Gothic"/>
          <w:sz w:val="28"/>
          <w:szCs w:val="28"/>
        </w:rPr>
        <w:t xml:space="preserve">we are a volunteer NGO and we </w:t>
      </w:r>
      <w:r>
        <w:rPr>
          <w:rFonts w:ascii="Century Gothic" w:hAnsi="Century Gothic"/>
          <w:sz w:val="28"/>
          <w:szCs w:val="28"/>
        </w:rPr>
        <w:t>do</w:t>
      </w:r>
      <w:r w:rsidRPr="00D00B21">
        <w:rPr>
          <w:rFonts w:ascii="Century Gothic" w:hAnsi="Century Gothic"/>
          <w:sz w:val="28"/>
          <w:szCs w:val="28"/>
        </w:rPr>
        <w:t xml:space="preserve"> not intend to pursue a claim for reimbursement, anyhow, we would like you to understand the ugly fact that the victims of PJV’s Operational Impacts are victimizing ATA since 2004.</w:t>
      </w:r>
      <w:r>
        <w:rPr>
          <w:rFonts w:ascii="Century Gothic" w:hAnsi="Century Gothic"/>
          <w:sz w:val="28"/>
          <w:szCs w:val="28"/>
        </w:rPr>
        <w:t xml:space="preserve"> We struggled to manage the grievance of Porgera Victims and Right Holders at a time when the State failed to protect and </w:t>
      </w:r>
      <w:r>
        <w:rPr>
          <w:rFonts w:ascii="Century Gothic" w:hAnsi="Century Gothic"/>
          <w:sz w:val="28"/>
          <w:szCs w:val="28"/>
        </w:rPr>
        <w:lastRenderedPageBreak/>
        <w:t>the Developer failed to respect. ATA even reached a point where the ATA were labelled as a bunch of criminals who were trying to instigate a civil unrest. Therefore, can the BNL and the National Government of Papua New Guinea collaborate to reimburse all of ATA’s cost from 2004 to 2019?</w:t>
      </w:r>
    </w:p>
    <w:p w:rsidR="009F5084" w:rsidRPr="005D0145" w:rsidRDefault="009F5084" w:rsidP="009F5084">
      <w:pPr>
        <w:pStyle w:val="ListParagraph"/>
        <w:rPr>
          <w:rFonts w:ascii="Century Gothic" w:hAnsi="Century Gothic"/>
          <w:sz w:val="28"/>
          <w:szCs w:val="28"/>
        </w:rPr>
      </w:pPr>
    </w:p>
    <w:p w:rsidR="009F5084" w:rsidRPr="005D0145" w:rsidRDefault="009F5084" w:rsidP="009F5084">
      <w:pPr>
        <w:pStyle w:val="ListParagraph"/>
        <w:numPr>
          <w:ilvl w:val="0"/>
          <w:numId w:val="5"/>
        </w:numPr>
        <w:jc w:val="both"/>
        <w:rPr>
          <w:rFonts w:ascii="Century Gothic" w:hAnsi="Century Gothic"/>
        </w:rPr>
      </w:pPr>
      <w:r>
        <w:rPr>
          <w:rFonts w:ascii="Century Gothic" w:hAnsi="Century Gothic"/>
          <w:sz w:val="28"/>
          <w:szCs w:val="28"/>
        </w:rPr>
        <w:t>Currently, there are 940 backlogged cases with the BNL’s Operational Grievance Mechanism. Among these is ATA’s PJV Grievance Acknowledgement Number #: 3936. Therefore, can the Barrick and BNL tell ATA and all stakeholders of the process or the current status of these claims and cases?</w:t>
      </w:r>
    </w:p>
    <w:p w:rsidR="009F5084" w:rsidRPr="005D0145" w:rsidRDefault="009F5084" w:rsidP="009F5084">
      <w:pPr>
        <w:pStyle w:val="ListParagraph"/>
        <w:rPr>
          <w:rFonts w:ascii="Century Gothic" w:hAnsi="Century Gothic"/>
          <w:sz w:val="28"/>
          <w:szCs w:val="28"/>
        </w:rPr>
      </w:pPr>
    </w:p>
    <w:p w:rsidR="009F5084" w:rsidRDefault="009F5084" w:rsidP="009F5084">
      <w:pPr>
        <w:jc w:val="both"/>
        <w:rPr>
          <w:rFonts w:ascii="Century Gothic" w:hAnsi="Century Gothic"/>
          <w:sz w:val="28"/>
          <w:szCs w:val="28"/>
        </w:rPr>
      </w:pPr>
      <w:r>
        <w:rPr>
          <w:rFonts w:ascii="Century Gothic" w:hAnsi="Century Gothic"/>
          <w:sz w:val="28"/>
          <w:szCs w:val="28"/>
        </w:rPr>
        <w:t>Your quick respond will be highly appreciated.</w:t>
      </w:r>
    </w:p>
    <w:p w:rsidR="009F5084" w:rsidRDefault="009F5084" w:rsidP="009F5084">
      <w:pPr>
        <w:jc w:val="both"/>
        <w:rPr>
          <w:rFonts w:ascii="Century Gothic" w:hAnsi="Century Gothic"/>
          <w:sz w:val="28"/>
          <w:szCs w:val="28"/>
        </w:rPr>
      </w:pPr>
    </w:p>
    <w:p w:rsidR="009F5084" w:rsidRDefault="00F56E2E" w:rsidP="009F5084">
      <w:pPr>
        <w:jc w:val="both"/>
        <w:rPr>
          <w:rFonts w:ascii="Century Gothic" w:hAnsi="Century Gothic"/>
          <w:sz w:val="28"/>
          <w:szCs w:val="28"/>
        </w:rPr>
      </w:pPr>
      <w:r>
        <w:rPr>
          <w:rFonts w:ascii="Century Gothic" w:hAnsi="Century Gothic"/>
          <w:noProof/>
          <w:sz w:val="28"/>
          <w:szCs w:val="28"/>
          <w:lang w:eastAsia="en-AU"/>
        </w:rPr>
        <w:drawing>
          <wp:anchor distT="0" distB="0" distL="114300" distR="114300" simplePos="0" relativeHeight="251661312" behindDoc="1" locked="0" layoutInCell="1" allowOverlap="1" wp14:anchorId="68631B0E" wp14:editId="3D11C96B">
            <wp:simplePos x="0" y="0"/>
            <wp:positionH relativeFrom="column">
              <wp:posOffset>-472440</wp:posOffset>
            </wp:positionH>
            <wp:positionV relativeFrom="paragraph">
              <wp:posOffset>369570</wp:posOffset>
            </wp:positionV>
            <wp:extent cx="6797040" cy="4091940"/>
            <wp:effectExtent l="0" t="0" r="3810" b="3810"/>
            <wp:wrapThrough wrapText="bothSides">
              <wp:wrapPolygon edited="0">
                <wp:start x="0" y="0"/>
                <wp:lineTo x="0" y="21520"/>
                <wp:lineTo x="21552" y="21520"/>
                <wp:lineTo x="2155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lum bright="20000" contrast="20000"/>
                      <a:extLst>
                        <a:ext uri="{28A0092B-C50C-407E-A947-70E740481C1C}">
                          <a14:useLocalDpi xmlns:a14="http://schemas.microsoft.com/office/drawing/2010/main" val="0"/>
                        </a:ext>
                      </a:extLst>
                    </a:blip>
                    <a:srcRect/>
                    <a:stretch>
                      <a:fillRect/>
                    </a:stretch>
                  </pic:blipFill>
                  <pic:spPr bwMode="auto">
                    <a:xfrm>
                      <a:off x="0" y="0"/>
                      <a:ext cx="6797040" cy="409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084">
        <w:rPr>
          <w:rFonts w:ascii="Century Gothic" w:hAnsi="Century Gothic"/>
          <w:sz w:val="28"/>
          <w:szCs w:val="28"/>
        </w:rPr>
        <w:t>Yours Sincerely,</w:t>
      </w:r>
    </w:p>
    <w:sectPr w:rsidR="009F5084" w:rsidSect="008C282B">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4E5" w:rsidRDefault="002F64E5" w:rsidP="00AD6335">
      <w:pPr>
        <w:spacing w:after="0" w:line="240" w:lineRule="auto"/>
      </w:pPr>
      <w:r>
        <w:separator/>
      </w:r>
    </w:p>
  </w:endnote>
  <w:endnote w:type="continuationSeparator" w:id="0">
    <w:p w:rsidR="002F64E5" w:rsidRDefault="002F64E5" w:rsidP="00AD6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ligraph421 BT">
    <w:panose1 w:val="03060702050402020204"/>
    <w:charset w:val="00"/>
    <w:family w:val="script"/>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ligrapher">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4E5" w:rsidRDefault="002F64E5" w:rsidP="00AD6335">
      <w:pPr>
        <w:spacing w:after="0" w:line="240" w:lineRule="auto"/>
      </w:pPr>
      <w:r>
        <w:separator/>
      </w:r>
    </w:p>
  </w:footnote>
  <w:footnote w:type="continuationSeparator" w:id="0">
    <w:p w:rsidR="002F64E5" w:rsidRDefault="002F64E5" w:rsidP="00AD6335">
      <w:pPr>
        <w:spacing w:after="0" w:line="240" w:lineRule="auto"/>
      </w:pPr>
      <w:r>
        <w:continuationSeparator/>
      </w:r>
    </w:p>
  </w:footnote>
  <w:footnote w:id="1">
    <w:p w:rsidR="00AD6335" w:rsidRDefault="00AD6335" w:rsidP="00AD6335">
      <w:pPr>
        <w:pStyle w:val="FootnoteText"/>
      </w:pPr>
      <w:r>
        <w:rPr>
          <w:rStyle w:val="FootnoteReference"/>
        </w:rPr>
        <w:footnoteRef/>
      </w:r>
      <w:r>
        <w:t xml:space="preserve"> See; </w:t>
      </w:r>
      <w:hyperlink r:id="rId1" w:history="1">
        <w:r w:rsidR="00EC03B2" w:rsidRPr="00067770">
          <w:rPr>
            <w:rStyle w:val="Hyperlink"/>
          </w:rPr>
          <w:t>https://www.ipa.gov.pg/pngassociations/viewInstance/view.html?id=8bce5eb996508d567e00585b6b5ab42d0e19824c5715638c&amp;_timestamp=16185208954433171</w:t>
        </w:r>
      </w:hyperlink>
      <w:r w:rsidR="00EC03B2">
        <w:t xml:space="preserve"> </w:t>
      </w:r>
    </w:p>
  </w:footnote>
  <w:footnote w:id="2">
    <w:p w:rsidR="00AD6335" w:rsidRDefault="00AD6335" w:rsidP="00AD6335">
      <w:pPr>
        <w:pStyle w:val="FootnoteText"/>
      </w:pPr>
      <w:r>
        <w:rPr>
          <w:rStyle w:val="FootnoteReference"/>
        </w:rPr>
        <w:footnoteRef/>
      </w:r>
      <w:r>
        <w:t xml:space="preserve"> The report hereby refers to the ATA’s first Report published in 2005, the “</w:t>
      </w:r>
      <w:r w:rsidRPr="00F251DE">
        <w:rPr>
          <w:i/>
        </w:rPr>
        <w:t>Shooting Fields of Porgera - Now a Case to Compensate and Justice to Prevail.”</w:t>
      </w:r>
      <w:r>
        <w:t xml:space="preserve">  See; </w:t>
      </w:r>
      <w:hyperlink r:id="rId2" w:history="1">
        <w:r w:rsidRPr="004A1A83">
          <w:rPr>
            <w:rStyle w:val="Hyperlink"/>
          </w:rPr>
          <w:t>http://www.akalitange.org/Reports</w:t>
        </w:r>
      </w:hyperlink>
      <w:r>
        <w:t xml:space="preserve">  </w:t>
      </w:r>
    </w:p>
  </w:footnote>
  <w:footnote w:id="3">
    <w:p w:rsidR="00AD6335" w:rsidRDefault="00AD6335" w:rsidP="00AD6335">
      <w:pPr>
        <w:pStyle w:val="FootnoteText"/>
      </w:pPr>
      <w:r>
        <w:rPr>
          <w:rStyle w:val="FootnoteReference"/>
        </w:rPr>
        <w:footnoteRef/>
      </w:r>
      <w:r>
        <w:t xml:space="preserve"> The gross human rights violations include; extra judicial killings and shootings, rapes and gang rapes, tortures and beatings, illegal or arbitrary arrests, force evictions and environmental pollutions caused and or created by the operators of the Porgera Gold Mine Project.   </w:t>
      </w:r>
    </w:p>
  </w:footnote>
  <w:footnote w:id="4">
    <w:p w:rsidR="00AD6335" w:rsidRDefault="00AD6335" w:rsidP="00AD6335">
      <w:pPr>
        <w:pStyle w:val="FootnoteText"/>
      </w:pPr>
      <w:r>
        <w:rPr>
          <w:rStyle w:val="FootnoteReference"/>
        </w:rPr>
        <w:footnoteRef/>
      </w:r>
      <w:r>
        <w:t xml:space="preserve"> After conducting its own independent investigation on the allegations raised by the ATA, the Norwegian Pension Fund’s Council concluded that: </w:t>
      </w:r>
      <w:r>
        <w:rPr>
          <w:rStyle w:val="Emphasis"/>
        </w:rPr>
        <w:t xml:space="preserve">“In light of the documentation at hand, the Council finds that Barrick’s operation of the Porgera mine entails an unacceptable risk of extensive and irreversible damage to the natural environment. According to the Council’s assessment, the company’s riverine disposal practice is in breach of international norms. In the Council’s view, the company’s assertions that its operations do not cause long-term and irreversible environmental damage carry little credibility. This is reinforced by the lack of openness and transparency in the company’s environmental reporting. Considering the intentions presented by the company with regard to production expansion, the Council finds reason to believe that the company’s unacceptable practice will continue in the future.” </w:t>
      </w:r>
      <w:r w:rsidRPr="00DA71E0">
        <w:rPr>
          <w:rStyle w:val="Emphasis"/>
        </w:rPr>
        <w:t>See</w:t>
      </w:r>
      <w:r>
        <w:rPr>
          <w:rStyle w:val="Emphasis"/>
        </w:rPr>
        <w:t>;</w:t>
      </w:r>
      <w:r w:rsidRPr="00DA71E0">
        <w:rPr>
          <w:rStyle w:val="Emphasis"/>
        </w:rPr>
        <w:t xml:space="preserve"> </w:t>
      </w:r>
      <w:hyperlink r:id="rId3" w:history="1">
        <w:r w:rsidRPr="004A1A83">
          <w:rPr>
            <w:rStyle w:val="Hyperlink"/>
          </w:rPr>
          <w:t>https://www.regjeringen.no/en/historical-archive/Stoltenbergs-2nd-Government/Ministry-of-Finance/Nyheter-og-pressemeldinger/pressemeldinger/2009/mining-company-excluded-from-the-governm/id543107/</w:t>
        </w:r>
      </w:hyperlink>
      <w:r>
        <w:rPr>
          <w:rStyle w:val="Emphasis"/>
        </w:rPr>
        <w:t xml:space="preserve"> </w:t>
      </w:r>
    </w:p>
  </w:footnote>
  <w:footnote w:id="5">
    <w:p w:rsidR="00AD6335" w:rsidRDefault="00AD6335" w:rsidP="00AD6335">
      <w:pPr>
        <w:pStyle w:val="FootnoteText"/>
      </w:pPr>
      <w:r>
        <w:rPr>
          <w:rStyle w:val="FootnoteReference"/>
        </w:rPr>
        <w:footnoteRef/>
      </w:r>
      <w:r>
        <w:t xml:space="preserve"> International NGOs refers to; MiningWatch Canada, Harvard, New York and Colombia Law Schools, Mt. Claire State University, Amnesty International, Human Rights Watch, RAID, Earth Works, Earth Rights International and others. </w:t>
      </w:r>
    </w:p>
  </w:footnote>
  <w:footnote w:id="6">
    <w:p w:rsidR="00AD6335" w:rsidRDefault="00AD6335" w:rsidP="00AD6335">
      <w:pPr>
        <w:pStyle w:val="FootnoteText"/>
      </w:pPr>
      <w:r>
        <w:rPr>
          <w:rStyle w:val="FootnoteReference"/>
        </w:rPr>
        <w:footnoteRef/>
      </w:r>
      <w:r>
        <w:t xml:space="preserve"> See; </w:t>
      </w:r>
      <w:hyperlink r:id="rId4" w:history="1">
        <w:r w:rsidRPr="004A1A83">
          <w:rPr>
            <w:rStyle w:val="Hyperlink"/>
          </w:rPr>
          <w:t>https://www.hrw.org/sites/default/files/reports/png0211webwcover.pdf</w:t>
        </w:r>
      </w:hyperlink>
      <w:r>
        <w:t xml:space="preserve"> </w:t>
      </w:r>
    </w:p>
  </w:footnote>
  <w:footnote w:id="7">
    <w:p w:rsidR="00AD6335" w:rsidRDefault="00AD6335" w:rsidP="00AD6335">
      <w:pPr>
        <w:pStyle w:val="FootnoteText"/>
      </w:pPr>
      <w:r>
        <w:rPr>
          <w:rStyle w:val="FootnoteReference"/>
        </w:rPr>
        <w:footnoteRef/>
      </w:r>
      <w:r>
        <w:t xml:space="preserve"> UN Guiding Principles on Business and Human Rights was adopted by the UN in 2011. Soon after the adoption, the Barrick Gold Corp has created this remedy mechanism for Porgera to assess, evaluate and provide remedies to the women sexual victims. Other human rights abuse allegations such as extra-judicial killings or shootings, tortures and beatings, illegal and or arbitrary arrests, force evictions and chemically infected victims have not been covered by this program, thus; this program was described as limited in its scopes. </w:t>
      </w:r>
    </w:p>
  </w:footnote>
  <w:footnote w:id="8">
    <w:p w:rsidR="00AD6335" w:rsidRDefault="00AD6335" w:rsidP="00AD6335">
      <w:pPr>
        <w:pStyle w:val="FootnoteText"/>
      </w:pPr>
      <w:r>
        <w:rPr>
          <w:rStyle w:val="FootnoteReference"/>
        </w:rPr>
        <w:footnoteRef/>
      </w:r>
      <w:r w:rsidR="00E05E63">
        <w:t xml:space="preserve"> See; </w:t>
      </w:r>
      <w:hyperlink r:id="rId5" w:history="1">
        <w:r w:rsidR="00E05E63" w:rsidRPr="001C532A">
          <w:rPr>
            <w:rStyle w:val="Hyperlink"/>
          </w:rPr>
          <w:t>http://www.right+wrongs.org</w:t>
        </w:r>
      </w:hyperlink>
      <w:r w:rsidR="00E05E63">
        <w:t xml:space="preserve"> </w:t>
      </w:r>
      <w:r>
        <w:t xml:space="preserve"> </w:t>
      </w:r>
    </w:p>
  </w:footnote>
  <w:footnote w:id="9">
    <w:p w:rsidR="00AD6335" w:rsidRDefault="00AD6335" w:rsidP="00AD6335">
      <w:pPr>
        <w:pStyle w:val="FootnoteText"/>
      </w:pPr>
      <w:r>
        <w:rPr>
          <w:rStyle w:val="FootnoteReference"/>
        </w:rPr>
        <w:footnoteRef/>
      </w:r>
      <w:r>
        <w:t xml:space="preserve"> Of more than 200 women sexual victims that underwent the </w:t>
      </w:r>
      <w:hyperlink r:id="rId6" w:history="1">
        <w:r>
          <w:rPr>
            <w:rStyle w:val="Hyperlink"/>
          </w:rPr>
          <w:t>program</w:t>
        </w:r>
      </w:hyperlink>
      <w:r>
        <w:t xml:space="preserve">, only 119 accepted the remedies of K50, 000.00 in cash, whilst others were rejected by the </w:t>
      </w:r>
      <w:hyperlink r:id="rId7" w:history="1">
        <w:r>
          <w:rPr>
            <w:rStyle w:val="Hyperlink"/>
          </w:rPr>
          <w:t>program</w:t>
        </w:r>
      </w:hyperlink>
      <w:r>
        <w:t xml:space="preserve">. However, only 11 women rejected the offer made by the </w:t>
      </w:r>
      <w:hyperlink r:id="rId8" w:history="1">
        <w:r>
          <w:rPr>
            <w:rStyle w:val="Hyperlink"/>
          </w:rPr>
          <w:t>program</w:t>
        </w:r>
      </w:hyperlink>
      <w:r>
        <w:t xml:space="preserve">. These 11 women were offered free legal aids by </w:t>
      </w:r>
      <w:proofErr w:type="spellStart"/>
      <w:r>
        <w:t>EarthRights</w:t>
      </w:r>
      <w:proofErr w:type="spellEnd"/>
      <w:r>
        <w:t xml:space="preserve"> International to pursue their cases at a Court in US, however; Barrick later provided them with far higher amounts believed to be four times higher than the remedies offered to the 119 women by the program. </w:t>
      </w:r>
    </w:p>
  </w:footnote>
  <w:footnote w:id="10">
    <w:p w:rsidR="00AD6335" w:rsidRDefault="00AD6335" w:rsidP="00AD6335">
      <w:pPr>
        <w:pStyle w:val="FootnoteText"/>
      </w:pPr>
      <w:r>
        <w:rPr>
          <w:rStyle w:val="FootnoteReference"/>
        </w:rPr>
        <w:footnoteRef/>
      </w:r>
      <w:r>
        <w:t xml:space="preserve"> See; </w:t>
      </w:r>
      <w:hyperlink r:id="rId9" w:history="1">
        <w:r w:rsidR="00EC03B2" w:rsidRPr="00067770">
          <w:rPr>
            <w:rStyle w:val="Hyperlink"/>
          </w:rPr>
          <w:t>https://www.ohchr.org/Documents/Forms/AllItems.aspx?RootFolder=%2fDocuments%2fIssues%2fBusiness%2f2017Survey%2fA2R&amp;FolderCTID=0x0120008E9B9CA9834C524B9135759ABDD63BCD</w:t>
        </w:r>
      </w:hyperlink>
      <w:r w:rsidR="00EC03B2">
        <w:t xml:space="preserve"> </w:t>
      </w:r>
    </w:p>
  </w:footnote>
  <w:footnote w:id="11">
    <w:p w:rsidR="00AD6335" w:rsidRPr="0022143A" w:rsidRDefault="00AD6335" w:rsidP="00AD6335">
      <w:pPr>
        <w:pStyle w:val="FootnoteText"/>
      </w:pPr>
      <w:r>
        <w:rPr>
          <w:rStyle w:val="FootnoteReference"/>
        </w:rPr>
        <w:footnoteRef/>
      </w:r>
      <w:r>
        <w:t xml:space="preserve"> EnodoRights Assessment Report, “</w:t>
      </w:r>
      <w:r w:rsidRPr="0022143A">
        <w:rPr>
          <w:i/>
        </w:rPr>
        <w:t>Pillar III</w:t>
      </w:r>
      <w:r>
        <w:rPr>
          <w:i/>
        </w:rPr>
        <w:t xml:space="preserve"> – </w:t>
      </w:r>
      <w:r w:rsidR="005057F8">
        <w:rPr>
          <w:i/>
        </w:rPr>
        <w:t>On the Ground Report</w:t>
      </w:r>
      <w:r>
        <w:rPr>
          <w:i/>
        </w:rPr>
        <w:t xml:space="preserve">” </w:t>
      </w:r>
      <w:r>
        <w:t xml:space="preserve">See; </w:t>
      </w:r>
      <w:hyperlink r:id="rId10" w:history="1">
        <w:r w:rsidR="005057F8" w:rsidRPr="00067770">
          <w:rPr>
            <w:rStyle w:val="Hyperlink"/>
          </w:rPr>
          <w:t>https://www.enodorights.com/assets/pdf/pillar-III-on-the-ground.pdf</w:t>
        </w:r>
      </w:hyperlink>
      <w:r w:rsidR="005057F8">
        <w:t xml:space="preserve"> </w:t>
      </w:r>
    </w:p>
  </w:footnote>
  <w:footnote w:id="12">
    <w:p w:rsidR="00AD6335" w:rsidRPr="005057F8" w:rsidRDefault="00AD6335" w:rsidP="00AD6335">
      <w:pPr>
        <w:pStyle w:val="FootnoteText"/>
      </w:pPr>
      <w:r>
        <w:rPr>
          <w:rStyle w:val="FootnoteReference"/>
        </w:rPr>
        <w:footnoteRef/>
      </w:r>
      <w:r>
        <w:t xml:space="preserve"> Those that were of value to the ATA in human rights context was</w:t>
      </w:r>
      <w:r w:rsidR="005057F8">
        <w:t>; “</w:t>
      </w:r>
      <w:r w:rsidR="00673EB3">
        <w:rPr>
          <w:i/>
        </w:rPr>
        <w:t>if</w:t>
      </w:r>
      <w:r w:rsidR="005057F8">
        <w:rPr>
          <w:i/>
        </w:rPr>
        <w:t xml:space="preserve"> Barrick is really committed to human rights violation issues, than the remain</w:t>
      </w:r>
      <w:r w:rsidR="00673EB3">
        <w:rPr>
          <w:i/>
        </w:rPr>
        <w:t>ing</w:t>
      </w:r>
      <w:r w:rsidR="005057F8">
        <w:rPr>
          <w:i/>
        </w:rPr>
        <w:t xml:space="preserve"> unsettled human rights violation issues and the 119 Women who have already undergone the PRFA program and their grievances must be addressed.” </w:t>
      </w:r>
      <w:r w:rsidR="005057F8">
        <w:t xml:space="preserve">Pillar III: On the Ground Report page 12. </w:t>
      </w:r>
    </w:p>
  </w:footnote>
  <w:footnote w:id="13">
    <w:p w:rsidR="005057F8" w:rsidRDefault="005057F8">
      <w:pPr>
        <w:pStyle w:val="FootnoteText"/>
      </w:pPr>
      <w:r>
        <w:rPr>
          <w:rStyle w:val="FootnoteReference"/>
        </w:rPr>
        <w:footnoteRef/>
      </w:r>
      <w:r>
        <w:t xml:space="preserve"> Barrick commissioned Assessment Report of the Porgera Remedial Framework; Pillar III: On the Ground Report. See, </w:t>
      </w:r>
      <w:hyperlink r:id="rId11" w:history="1">
        <w:r w:rsidRPr="00067770">
          <w:rPr>
            <w:rStyle w:val="Hyperlink"/>
          </w:rPr>
          <w:t>https://www.enodorights.com/assets/pdf/pillar-III-on-the-ground.pdf</w:t>
        </w:r>
      </w:hyperlink>
      <w:r>
        <w:t xml:space="preserve"> </w:t>
      </w:r>
    </w:p>
  </w:footnote>
  <w:footnote w:id="14">
    <w:p w:rsidR="00AD6335" w:rsidRDefault="00AD6335" w:rsidP="00AD6335">
      <w:pPr>
        <w:pStyle w:val="FootnoteText"/>
      </w:pPr>
      <w:r>
        <w:rPr>
          <w:rStyle w:val="FootnoteReference"/>
        </w:rPr>
        <w:footnoteRef/>
      </w:r>
      <w:r>
        <w:t xml:space="preserve"> When a complaint is lodged with the PJV’s OGM, the officer on duty issues a grievance acknowledgement ID number to the claimant. As such, the ATA as an organization representing the victims and their custodians after lodging its allegations on behalf was given a grievance acknowledgment ID number, which is PJV Grievance Acknowledgement ID No: 3936. </w:t>
      </w:r>
    </w:p>
  </w:footnote>
  <w:footnote w:id="15">
    <w:p w:rsidR="00AD6335" w:rsidRDefault="00AD6335" w:rsidP="00AD6335">
      <w:pPr>
        <w:pStyle w:val="FootnoteText"/>
      </w:pPr>
      <w:r>
        <w:rPr>
          <w:rStyle w:val="FootnoteReference"/>
        </w:rPr>
        <w:footnoteRef/>
      </w:r>
      <w:r>
        <w:t xml:space="preserve"> </w:t>
      </w:r>
      <w:r w:rsidR="005057F8">
        <w:t xml:space="preserve">See; </w:t>
      </w:r>
      <w:hyperlink r:id="rId12" w:history="1">
        <w:r w:rsidR="005057F8" w:rsidRPr="00067770">
          <w:rPr>
            <w:rStyle w:val="Hyperlink"/>
          </w:rPr>
          <w:t>https://news.vice.com/en_ca/article/bjd4pm/violence-escalating-at-notorious-mine-co-owned-by-canadian-company-locals-say</w:t>
        </w:r>
      </w:hyperlink>
      <w:r w:rsidR="005057F8">
        <w:t xml:space="preserve"> </w:t>
      </w:r>
    </w:p>
  </w:footnote>
  <w:footnote w:id="16">
    <w:p w:rsidR="00AD6335" w:rsidRDefault="00AD6335" w:rsidP="00AD6335">
      <w:pPr>
        <w:pStyle w:val="FootnoteText"/>
      </w:pPr>
      <w:r>
        <w:rPr>
          <w:rStyle w:val="FootnoteReference"/>
        </w:rPr>
        <w:footnoteRef/>
      </w:r>
      <w:r>
        <w:t xml:space="preserve"> Response letter with the Author on File </w:t>
      </w:r>
    </w:p>
  </w:footnote>
  <w:footnote w:id="17">
    <w:p w:rsidR="00AD6335" w:rsidRDefault="00AD6335" w:rsidP="00AD6335">
      <w:pPr>
        <w:pStyle w:val="FootnoteText"/>
      </w:pPr>
      <w:r>
        <w:rPr>
          <w:rStyle w:val="FootnoteReference"/>
        </w:rPr>
        <w:footnoteRef/>
      </w:r>
      <w:r>
        <w:t xml:space="preserve"> See;</w:t>
      </w:r>
      <w:r w:rsidR="00D33FDE">
        <w:t xml:space="preserve"> </w:t>
      </w:r>
      <w:hyperlink r:id="rId13" w:history="1">
        <w:r w:rsidR="00D33FDE" w:rsidRPr="00067770">
          <w:rPr>
            <w:rStyle w:val="Hyperlink"/>
          </w:rPr>
          <w:t>https://www.bsr.org/en/our-insights/report-view/porgera-gold-mine-barrick-pathways-to-remedy</w:t>
        </w:r>
      </w:hyperlink>
      <w:r w:rsidR="00D33FDE">
        <w:t xml:space="preserve"> </w:t>
      </w:r>
    </w:p>
  </w:footnote>
  <w:footnote w:id="18">
    <w:p w:rsidR="00AD6335" w:rsidRDefault="00AD6335" w:rsidP="00AD6335">
      <w:pPr>
        <w:pStyle w:val="FootnoteText"/>
      </w:pPr>
      <w:r>
        <w:rPr>
          <w:rStyle w:val="FootnoteReference"/>
        </w:rPr>
        <w:footnoteRef/>
      </w:r>
      <w:r>
        <w:t xml:space="preserve"> Invitation letter send via </w:t>
      </w:r>
      <w:r w:rsidR="00E442CA">
        <w:t>email</w:t>
      </w:r>
      <w:r>
        <w:t xml:space="preserve">. </w:t>
      </w:r>
      <w:r w:rsidR="00E442CA">
        <w:t xml:space="preserve">On file with the author. </w:t>
      </w:r>
      <w:bookmarkStart w:id="0" w:name="_GoBack"/>
      <w:bookmarkEnd w:id="0"/>
    </w:p>
  </w:footnote>
  <w:footnote w:id="19">
    <w:p w:rsidR="00B20AAB" w:rsidRPr="00B20AAB" w:rsidRDefault="00B20AAB">
      <w:pPr>
        <w:pStyle w:val="FootnoteText"/>
      </w:pPr>
      <w:r>
        <w:rPr>
          <w:rStyle w:val="FootnoteReference"/>
        </w:rPr>
        <w:footnoteRef/>
      </w:r>
      <w:r>
        <w:t xml:space="preserve"> </w:t>
      </w:r>
      <w:r w:rsidRPr="00B20AAB">
        <w:t xml:space="preserve">See Facing Finance Dirty Profit 6. </w:t>
      </w:r>
      <w:hyperlink r:id="rId14" w:history="1">
        <w:r w:rsidRPr="00B20AAB">
          <w:rPr>
            <w:rStyle w:val="Hyperlink"/>
          </w:rPr>
          <w:t>www.facing-finance.org</w:t>
        </w:r>
      </w:hyperlink>
      <w:r w:rsidR="008207DA">
        <w:t xml:space="preserve">. </w:t>
      </w:r>
    </w:p>
  </w:footnote>
  <w:footnote w:id="20">
    <w:p w:rsidR="008207DA" w:rsidRDefault="008207DA">
      <w:pPr>
        <w:pStyle w:val="FootnoteText"/>
      </w:pPr>
      <w:r>
        <w:rPr>
          <w:rStyle w:val="FootnoteReference"/>
        </w:rPr>
        <w:footnoteRef/>
      </w:r>
      <w:r>
        <w:t xml:space="preserve"> </w:t>
      </w:r>
      <w:r w:rsidRPr="008207DA">
        <w:t xml:space="preserve">See Facing Finance Dirty Profit 6. </w:t>
      </w:r>
      <w:hyperlink r:id="rId15" w:history="1">
        <w:r w:rsidRPr="008207DA">
          <w:rPr>
            <w:rStyle w:val="Hyperlink"/>
          </w:rPr>
          <w:t>www.facing-finance.org</w:t>
        </w:r>
      </w:hyperlink>
      <w:r w:rsidRPr="008207DA">
        <w:t xml:space="preserve">. </w:t>
      </w:r>
    </w:p>
  </w:footnote>
  <w:footnote w:id="21">
    <w:p w:rsidR="003769A1" w:rsidRDefault="003769A1">
      <w:pPr>
        <w:pStyle w:val="FootnoteText"/>
      </w:pPr>
      <w:r>
        <w:rPr>
          <w:rStyle w:val="FootnoteReference"/>
        </w:rPr>
        <w:footnoteRef/>
      </w:r>
      <w:r>
        <w:t xml:space="preserve"> Review and renegotiation of the Memorandum of Agreement </w:t>
      </w:r>
      <w:r w:rsidR="00575517">
        <w:t>(MO</w:t>
      </w:r>
      <w:r w:rsidR="00853606">
        <w:t xml:space="preserve">A) </w:t>
      </w:r>
      <w:r>
        <w:t xml:space="preserve">will be done between the State, Enga Provincial Government and the 24 Land Negotiating Committees (LNCs) of Porgera and the Barrick Gold Corp prior to the extension of the Mining Development Contract (MDC).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A4BCC"/>
    <w:multiLevelType w:val="hybridMultilevel"/>
    <w:tmpl w:val="CCAEA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A5786D"/>
    <w:multiLevelType w:val="hybridMultilevel"/>
    <w:tmpl w:val="265CDFEE"/>
    <w:lvl w:ilvl="0" w:tplc="29DA067C">
      <w:start w:val="1"/>
      <w:numFmt w:val="decimal"/>
      <w:lvlText w:val="%1."/>
      <w:lvlJc w:val="left"/>
      <w:pPr>
        <w:ind w:left="1440" w:hanging="720"/>
      </w:pPr>
      <w:rPr>
        <w:rFonts w:ascii="Calligraph421 BT" w:hAnsi="Calligraph421 BT" w:hint="default"/>
        <w:b/>
        <w:color w:val="76923C" w:themeColor="accent3" w:themeShade="BF"/>
        <w:sz w:val="48"/>
        <w:szCs w:val="48"/>
      </w:rPr>
    </w:lvl>
    <w:lvl w:ilvl="1" w:tplc="8BDA9CE6">
      <w:start w:val="1"/>
      <w:numFmt w:val="lowerLetter"/>
      <w:lvlText w:val="%2."/>
      <w:lvlJc w:val="left"/>
      <w:pPr>
        <w:ind w:left="1800" w:hanging="360"/>
      </w:pPr>
      <w:rPr>
        <w:rFonts w:asciiTheme="minorHAnsi" w:eastAsiaTheme="minorHAnsi" w:hAnsiTheme="minorHAnsi" w:cstheme="minorBidi"/>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531478C7"/>
    <w:multiLevelType w:val="hybridMultilevel"/>
    <w:tmpl w:val="5CA47F78"/>
    <w:lvl w:ilvl="0" w:tplc="9C5AD98A">
      <w:start w:val="1"/>
      <w:numFmt w:val="decimal"/>
      <w:lvlText w:val="%1."/>
      <w:lvlJc w:val="left"/>
      <w:pPr>
        <w:ind w:left="1440" w:hanging="720"/>
      </w:pPr>
      <w:rPr>
        <w:rFonts w:ascii="Times New Roman" w:hAnsi="Times New Roman" w:cs="Times New Roman" w:hint="default"/>
        <w:b/>
        <w:color w:val="auto"/>
        <w:sz w:val="32"/>
        <w:szCs w:val="48"/>
      </w:rPr>
    </w:lvl>
    <w:lvl w:ilvl="1" w:tplc="8BDA9CE6">
      <w:start w:val="1"/>
      <w:numFmt w:val="lowerLetter"/>
      <w:lvlText w:val="%2."/>
      <w:lvlJc w:val="left"/>
      <w:pPr>
        <w:ind w:left="1800" w:hanging="360"/>
      </w:pPr>
      <w:rPr>
        <w:rFonts w:asciiTheme="minorHAnsi" w:eastAsiaTheme="minorHAnsi" w:hAnsiTheme="minorHAnsi" w:cstheme="minorBidi"/>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nsid w:val="788B308E"/>
    <w:multiLevelType w:val="hybridMultilevel"/>
    <w:tmpl w:val="EB84AC6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7B344C3A"/>
    <w:multiLevelType w:val="hybridMultilevel"/>
    <w:tmpl w:val="361C4A66"/>
    <w:lvl w:ilvl="0" w:tplc="9C5AD98A">
      <w:start w:val="1"/>
      <w:numFmt w:val="decimal"/>
      <w:lvlText w:val="%1."/>
      <w:lvlJc w:val="left"/>
      <w:pPr>
        <w:ind w:left="1440" w:hanging="720"/>
      </w:pPr>
      <w:rPr>
        <w:rFonts w:ascii="Times New Roman" w:hAnsi="Times New Roman" w:cs="Times New Roman" w:hint="default"/>
        <w:b/>
        <w:color w:val="auto"/>
        <w:sz w:val="32"/>
        <w:szCs w:val="48"/>
      </w:rPr>
    </w:lvl>
    <w:lvl w:ilvl="1" w:tplc="8BDA9CE6">
      <w:start w:val="1"/>
      <w:numFmt w:val="lowerLetter"/>
      <w:lvlText w:val="%2."/>
      <w:lvlJc w:val="left"/>
      <w:pPr>
        <w:ind w:left="1800" w:hanging="360"/>
      </w:pPr>
      <w:rPr>
        <w:rFonts w:asciiTheme="minorHAnsi" w:eastAsiaTheme="minorHAnsi" w:hAnsiTheme="minorHAnsi" w:cstheme="minorBidi"/>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6F1"/>
    <w:rsid w:val="000658F8"/>
    <w:rsid w:val="0006618F"/>
    <w:rsid w:val="0007261E"/>
    <w:rsid w:val="000936ED"/>
    <w:rsid w:val="000B115D"/>
    <w:rsid w:val="00103426"/>
    <w:rsid w:val="0012205A"/>
    <w:rsid w:val="0017508F"/>
    <w:rsid w:val="001966D0"/>
    <w:rsid w:val="00204B54"/>
    <w:rsid w:val="00212848"/>
    <w:rsid w:val="00232037"/>
    <w:rsid w:val="002B4FF2"/>
    <w:rsid w:val="002B57CA"/>
    <w:rsid w:val="002E1489"/>
    <w:rsid w:val="002E2824"/>
    <w:rsid w:val="002F64E5"/>
    <w:rsid w:val="00320C31"/>
    <w:rsid w:val="003769A1"/>
    <w:rsid w:val="003A7EC0"/>
    <w:rsid w:val="003C603A"/>
    <w:rsid w:val="003E5447"/>
    <w:rsid w:val="00416D6E"/>
    <w:rsid w:val="00442C2E"/>
    <w:rsid w:val="00463A15"/>
    <w:rsid w:val="0049740C"/>
    <w:rsid w:val="004D4D80"/>
    <w:rsid w:val="004F07F6"/>
    <w:rsid w:val="005057F8"/>
    <w:rsid w:val="00565B5C"/>
    <w:rsid w:val="00573AC2"/>
    <w:rsid w:val="00575517"/>
    <w:rsid w:val="005D6440"/>
    <w:rsid w:val="0060327C"/>
    <w:rsid w:val="00637222"/>
    <w:rsid w:val="00673EB3"/>
    <w:rsid w:val="006D2CDE"/>
    <w:rsid w:val="00802C8C"/>
    <w:rsid w:val="008207DA"/>
    <w:rsid w:val="00853606"/>
    <w:rsid w:val="008C282B"/>
    <w:rsid w:val="00956329"/>
    <w:rsid w:val="009A4E70"/>
    <w:rsid w:val="009F5084"/>
    <w:rsid w:val="00A24CA6"/>
    <w:rsid w:val="00A36985"/>
    <w:rsid w:val="00AD6335"/>
    <w:rsid w:val="00B20AAB"/>
    <w:rsid w:val="00B426F1"/>
    <w:rsid w:val="00B50A64"/>
    <w:rsid w:val="00B7163B"/>
    <w:rsid w:val="00BF652A"/>
    <w:rsid w:val="00C07FD4"/>
    <w:rsid w:val="00C13330"/>
    <w:rsid w:val="00C458AC"/>
    <w:rsid w:val="00CB5351"/>
    <w:rsid w:val="00CE581E"/>
    <w:rsid w:val="00CF3B0B"/>
    <w:rsid w:val="00D047FD"/>
    <w:rsid w:val="00D33FDE"/>
    <w:rsid w:val="00D5259B"/>
    <w:rsid w:val="00D53C7A"/>
    <w:rsid w:val="00D84D28"/>
    <w:rsid w:val="00DD4BBB"/>
    <w:rsid w:val="00DE60B3"/>
    <w:rsid w:val="00E05E63"/>
    <w:rsid w:val="00E31379"/>
    <w:rsid w:val="00E442CA"/>
    <w:rsid w:val="00E45C30"/>
    <w:rsid w:val="00E50347"/>
    <w:rsid w:val="00E52329"/>
    <w:rsid w:val="00E92F70"/>
    <w:rsid w:val="00EC03B2"/>
    <w:rsid w:val="00F50C33"/>
    <w:rsid w:val="00F56E2E"/>
    <w:rsid w:val="00F675D9"/>
    <w:rsid w:val="00FC25FA"/>
    <w:rsid w:val="00FD3BA5"/>
    <w:rsid w:val="00FE2D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F5084"/>
    <w:pPr>
      <w:keepNext/>
      <w:spacing w:after="0" w:line="240" w:lineRule="auto"/>
      <w:ind w:left="2880" w:firstLine="2160"/>
      <w:outlineLvl w:val="0"/>
    </w:pPr>
    <w:rPr>
      <w:rFonts w:ascii="Times New Roman" w:eastAsia="Times New Roman" w:hAnsi="Times New Roman" w:cs="Times New Roman"/>
      <w:b/>
      <w:bCs/>
      <w:sz w:val="24"/>
      <w:szCs w:val="24"/>
      <w:u w:val="single"/>
    </w:rPr>
  </w:style>
  <w:style w:type="paragraph" w:styleId="Heading3">
    <w:name w:val="heading 3"/>
    <w:basedOn w:val="Normal"/>
    <w:next w:val="Normal"/>
    <w:link w:val="Heading3Char"/>
    <w:qFormat/>
    <w:rsid w:val="009F5084"/>
    <w:pPr>
      <w:keepNext/>
      <w:spacing w:after="0" w:line="240" w:lineRule="auto"/>
      <w:outlineLvl w:val="2"/>
    </w:pPr>
    <w:rPr>
      <w:rFonts w:ascii="Calligrapher" w:eastAsia="Times New Roman" w:hAnsi="Calligrapher" w:cs="Times New Roman"/>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7261E"/>
    <w:pPr>
      <w:spacing w:after="0" w:line="240" w:lineRule="auto"/>
    </w:pPr>
  </w:style>
  <w:style w:type="character" w:customStyle="1" w:styleId="NoSpacingChar">
    <w:name w:val="No Spacing Char"/>
    <w:basedOn w:val="DefaultParagraphFont"/>
    <w:link w:val="NoSpacing"/>
    <w:uiPriority w:val="1"/>
    <w:rsid w:val="00D5259B"/>
  </w:style>
  <w:style w:type="character" w:styleId="Emphasis">
    <w:name w:val="Emphasis"/>
    <w:basedOn w:val="DefaultParagraphFont"/>
    <w:uiPriority w:val="20"/>
    <w:qFormat/>
    <w:rsid w:val="00E52329"/>
    <w:rPr>
      <w:i/>
      <w:iCs/>
    </w:rPr>
  </w:style>
  <w:style w:type="character" w:styleId="Hyperlink">
    <w:name w:val="Hyperlink"/>
    <w:basedOn w:val="DefaultParagraphFont"/>
    <w:uiPriority w:val="99"/>
    <w:unhideWhenUsed/>
    <w:rsid w:val="00AD6335"/>
    <w:rPr>
      <w:color w:val="0000FF" w:themeColor="hyperlink"/>
      <w:u w:val="single"/>
    </w:rPr>
  </w:style>
  <w:style w:type="paragraph" w:styleId="FootnoteText">
    <w:name w:val="footnote text"/>
    <w:basedOn w:val="Normal"/>
    <w:link w:val="FootnoteTextChar"/>
    <w:uiPriority w:val="99"/>
    <w:semiHidden/>
    <w:unhideWhenUsed/>
    <w:rsid w:val="00AD63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6335"/>
    <w:rPr>
      <w:sz w:val="20"/>
      <w:szCs w:val="20"/>
    </w:rPr>
  </w:style>
  <w:style w:type="character" w:styleId="FootnoteReference">
    <w:name w:val="footnote reference"/>
    <w:basedOn w:val="DefaultParagraphFont"/>
    <w:uiPriority w:val="99"/>
    <w:semiHidden/>
    <w:unhideWhenUsed/>
    <w:rsid w:val="00AD6335"/>
    <w:rPr>
      <w:vertAlign w:val="superscript"/>
    </w:rPr>
  </w:style>
  <w:style w:type="paragraph" w:styleId="EndnoteText">
    <w:name w:val="endnote text"/>
    <w:basedOn w:val="Normal"/>
    <w:link w:val="EndnoteTextChar"/>
    <w:uiPriority w:val="99"/>
    <w:semiHidden/>
    <w:unhideWhenUsed/>
    <w:rsid w:val="00B20AAB"/>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uiPriority w:val="99"/>
    <w:semiHidden/>
    <w:rsid w:val="00B20AAB"/>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B20AAB"/>
    <w:rPr>
      <w:vertAlign w:val="superscript"/>
    </w:rPr>
  </w:style>
  <w:style w:type="paragraph" w:styleId="ListParagraph">
    <w:name w:val="List Paragraph"/>
    <w:basedOn w:val="Normal"/>
    <w:uiPriority w:val="34"/>
    <w:qFormat/>
    <w:rsid w:val="00D84D28"/>
    <w:pPr>
      <w:ind w:left="720"/>
      <w:contextualSpacing/>
    </w:pPr>
  </w:style>
  <w:style w:type="character" w:customStyle="1" w:styleId="Heading1Char">
    <w:name w:val="Heading 1 Char"/>
    <w:basedOn w:val="DefaultParagraphFont"/>
    <w:link w:val="Heading1"/>
    <w:rsid w:val="009F5084"/>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9F5084"/>
    <w:rPr>
      <w:rFonts w:ascii="Calligrapher" w:eastAsia="Times New Roman" w:hAnsi="Calligrapher" w:cs="Times New Roman"/>
      <w:b/>
      <w:bCs/>
      <w:sz w:val="36"/>
      <w:szCs w:val="24"/>
    </w:rPr>
  </w:style>
  <w:style w:type="paragraph" w:styleId="BalloonText">
    <w:name w:val="Balloon Text"/>
    <w:basedOn w:val="Normal"/>
    <w:link w:val="BalloonTextChar"/>
    <w:uiPriority w:val="99"/>
    <w:semiHidden/>
    <w:unhideWhenUsed/>
    <w:rsid w:val="009F5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0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F5084"/>
    <w:pPr>
      <w:keepNext/>
      <w:spacing w:after="0" w:line="240" w:lineRule="auto"/>
      <w:ind w:left="2880" w:firstLine="2160"/>
      <w:outlineLvl w:val="0"/>
    </w:pPr>
    <w:rPr>
      <w:rFonts w:ascii="Times New Roman" w:eastAsia="Times New Roman" w:hAnsi="Times New Roman" w:cs="Times New Roman"/>
      <w:b/>
      <w:bCs/>
      <w:sz w:val="24"/>
      <w:szCs w:val="24"/>
      <w:u w:val="single"/>
    </w:rPr>
  </w:style>
  <w:style w:type="paragraph" w:styleId="Heading3">
    <w:name w:val="heading 3"/>
    <w:basedOn w:val="Normal"/>
    <w:next w:val="Normal"/>
    <w:link w:val="Heading3Char"/>
    <w:qFormat/>
    <w:rsid w:val="009F5084"/>
    <w:pPr>
      <w:keepNext/>
      <w:spacing w:after="0" w:line="240" w:lineRule="auto"/>
      <w:outlineLvl w:val="2"/>
    </w:pPr>
    <w:rPr>
      <w:rFonts w:ascii="Calligrapher" w:eastAsia="Times New Roman" w:hAnsi="Calligrapher" w:cs="Times New Roman"/>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7261E"/>
    <w:pPr>
      <w:spacing w:after="0" w:line="240" w:lineRule="auto"/>
    </w:pPr>
  </w:style>
  <w:style w:type="character" w:customStyle="1" w:styleId="NoSpacingChar">
    <w:name w:val="No Spacing Char"/>
    <w:basedOn w:val="DefaultParagraphFont"/>
    <w:link w:val="NoSpacing"/>
    <w:uiPriority w:val="1"/>
    <w:rsid w:val="00D5259B"/>
  </w:style>
  <w:style w:type="character" w:styleId="Emphasis">
    <w:name w:val="Emphasis"/>
    <w:basedOn w:val="DefaultParagraphFont"/>
    <w:uiPriority w:val="20"/>
    <w:qFormat/>
    <w:rsid w:val="00E52329"/>
    <w:rPr>
      <w:i/>
      <w:iCs/>
    </w:rPr>
  </w:style>
  <w:style w:type="character" w:styleId="Hyperlink">
    <w:name w:val="Hyperlink"/>
    <w:basedOn w:val="DefaultParagraphFont"/>
    <w:uiPriority w:val="99"/>
    <w:unhideWhenUsed/>
    <w:rsid w:val="00AD6335"/>
    <w:rPr>
      <w:color w:val="0000FF" w:themeColor="hyperlink"/>
      <w:u w:val="single"/>
    </w:rPr>
  </w:style>
  <w:style w:type="paragraph" w:styleId="FootnoteText">
    <w:name w:val="footnote text"/>
    <w:basedOn w:val="Normal"/>
    <w:link w:val="FootnoteTextChar"/>
    <w:uiPriority w:val="99"/>
    <w:semiHidden/>
    <w:unhideWhenUsed/>
    <w:rsid w:val="00AD63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6335"/>
    <w:rPr>
      <w:sz w:val="20"/>
      <w:szCs w:val="20"/>
    </w:rPr>
  </w:style>
  <w:style w:type="character" w:styleId="FootnoteReference">
    <w:name w:val="footnote reference"/>
    <w:basedOn w:val="DefaultParagraphFont"/>
    <w:uiPriority w:val="99"/>
    <w:semiHidden/>
    <w:unhideWhenUsed/>
    <w:rsid w:val="00AD6335"/>
    <w:rPr>
      <w:vertAlign w:val="superscript"/>
    </w:rPr>
  </w:style>
  <w:style w:type="paragraph" w:styleId="EndnoteText">
    <w:name w:val="endnote text"/>
    <w:basedOn w:val="Normal"/>
    <w:link w:val="EndnoteTextChar"/>
    <w:uiPriority w:val="99"/>
    <w:semiHidden/>
    <w:unhideWhenUsed/>
    <w:rsid w:val="00B20AAB"/>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uiPriority w:val="99"/>
    <w:semiHidden/>
    <w:rsid w:val="00B20AAB"/>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B20AAB"/>
    <w:rPr>
      <w:vertAlign w:val="superscript"/>
    </w:rPr>
  </w:style>
  <w:style w:type="paragraph" w:styleId="ListParagraph">
    <w:name w:val="List Paragraph"/>
    <w:basedOn w:val="Normal"/>
    <w:uiPriority w:val="34"/>
    <w:qFormat/>
    <w:rsid w:val="00D84D28"/>
    <w:pPr>
      <w:ind w:left="720"/>
      <w:contextualSpacing/>
    </w:pPr>
  </w:style>
  <w:style w:type="character" w:customStyle="1" w:styleId="Heading1Char">
    <w:name w:val="Heading 1 Char"/>
    <w:basedOn w:val="DefaultParagraphFont"/>
    <w:link w:val="Heading1"/>
    <w:rsid w:val="009F5084"/>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9F5084"/>
    <w:rPr>
      <w:rFonts w:ascii="Calligrapher" w:eastAsia="Times New Roman" w:hAnsi="Calligrapher" w:cs="Times New Roman"/>
      <w:b/>
      <w:bCs/>
      <w:sz w:val="36"/>
      <w:szCs w:val="24"/>
    </w:rPr>
  </w:style>
  <w:style w:type="paragraph" w:styleId="BalloonText">
    <w:name w:val="Balloon Text"/>
    <w:basedOn w:val="Normal"/>
    <w:link w:val="BalloonTextChar"/>
    <w:uiPriority w:val="99"/>
    <w:semiHidden/>
    <w:unhideWhenUsed/>
    <w:rsid w:val="009F5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0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umanRightsWatchhumanrightswatch.org" TargetMode="External"/><Relationship Id="rId18" Type="http://schemas.openxmlformats.org/officeDocument/2006/relationships/hyperlink" Target="http://www." TargetMode="External"/><Relationship Id="rId26" Type="http://schemas.openxmlformats.org/officeDocument/2006/relationships/hyperlink" Target="https://www.enodorights.com/assets/pdf/pillar-III-on-the-ground.pdf" TargetMode="External"/><Relationship Id="rId39" Type="http://schemas.openxmlformats.org/officeDocument/2006/relationships/image" Target="media/image3.emf"/><Relationship Id="rId3" Type="http://schemas.openxmlformats.org/officeDocument/2006/relationships/numbering" Target="numbering.xml"/><Relationship Id="rId21" Type="http://schemas.openxmlformats.org/officeDocument/2006/relationships/hyperlink" Target="http://www." TargetMode="External"/><Relationship Id="rId34" Type="http://schemas.openxmlformats.org/officeDocument/2006/relationships/hyperlink" Target="http://www.VoluntaryPrinciplesonSecurityandHumanRights.org"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akalitange,org/Reports" TargetMode="External"/><Relationship Id="rId17" Type="http://schemas.openxmlformats.org/officeDocument/2006/relationships/hyperlink" Target="http://www/PorgeraRemedialFrameworkAssociation" TargetMode="External"/><Relationship Id="rId25" Type="http://schemas.openxmlformats.org/officeDocument/2006/relationships/hyperlink" Target="http://www." TargetMode="External"/><Relationship Id="rId33" Type="http://schemas.openxmlformats.org/officeDocument/2006/relationships/hyperlink" Target="http://www.UNGlobalCompact.org" TargetMode="External"/><Relationship Id="rId38" Type="http://schemas.openxmlformats.org/officeDocument/2006/relationships/hyperlink" Target="mailto:akalitange_association@yahoo.com/" TargetMode="External"/><Relationship Id="rId2" Type="http://schemas.openxmlformats.org/officeDocument/2006/relationships/customXml" Target="../customXml/item2.xml"/><Relationship Id="rId16" Type="http://schemas.openxmlformats.org/officeDocument/2006/relationships/hyperlink" Target="http://www." TargetMode="External"/><Relationship Id="rId20" Type="http://schemas.openxmlformats.org/officeDocument/2006/relationships/hyperlink" Target="http://www." TargetMode="External"/><Relationship Id="rId29" Type="http://schemas.openxmlformats.org/officeDocument/2006/relationships/hyperlink" Target="http://www.insearReport"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hyperlink" Target="http://www." TargetMode="External"/><Relationship Id="rId32" Type="http://schemas.openxmlformats.org/officeDocument/2006/relationships/hyperlink" Target="http://www.BSRInSearchofJustice:PathwaystoRemedyatthePorgeraGoldMineSeptember2018" TargetMode="External"/><Relationship Id="rId37" Type="http://schemas.openxmlformats.org/officeDocument/2006/relationships/hyperlink" Target="http://www.insearReport" TargetMode="Externa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www.OrganizationforEconomicCo-operationsandDevelopment'sGuidelinesforMultinationalEnterprises" TargetMode="External"/><Relationship Id="rId23" Type="http://schemas.openxmlformats.org/officeDocument/2006/relationships/hyperlink" Target="http://www.EnodoRights.org" TargetMode="External"/><Relationship Id="rId28" Type="http://schemas.openxmlformats.org/officeDocument/2006/relationships/hyperlink" Target="http://www.insearReport" TargetMode="External"/><Relationship Id="rId36" Type="http://schemas.openxmlformats.org/officeDocument/2006/relationships/hyperlink" Target="http://www.ExtractiveIndustriesTransparencyInitiative.org" TargetMode="External"/><Relationship Id="rId10" Type="http://schemas.openxmlformats.org/officeDocument/2006/relationships/image" Target="media/image1.jpeg"/><Relationship Id="rId19" Type="http://schemas.openxmlformats.org/officeDocument/2006/relationships/hyperlink" Target="http://www." TargetMode="External"/><Relationship Id="rId31" Type="http://schemas.openxmlformats.org/officeDocument/2006/relationships/hyperlink" Target="http://www.insearReport"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CanadianNationalContactPoint.org" TargetMode="External"/><Relationship Id="rId22" Type="http://schemas.openxmlformats.org/officeDocument/2006/relationships/hyperlink" Target="http://www." TargetMode="External"/><Relationship Id="rId27" Type="http://schemas.openxmlformats.org/officeDocument/2006/relationships/hyperlink" Target="http://www.insearReport" TargetMode="External"/><Relationship Id="rId30" Type="http://schemas.openxmlformats.org/officeDocument/2006/relationships/hyperlink" Target="http://www.insearReport" TargetMode="External"/><Relationship Id="rId35" Type="http://schemas.openxmlformats.org/officeDocument/2006/relationships/hyperlink" Target="http://www.ICMM.or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 TargetMode="External"/><Relationship Id="rId13" Type="http://schemas.openxmlformats.org/officeDocument/2006/relationships/hyperlink" Target="https://www.bsr.org/en/our-insights/report-view/porgera-gold-mine-barrick-pathways-to-remedy" TargetMode="External"/><Relationship Id="rId3" Type="http://schemas.openxmlformats.org/officeDocument/2006/relationships/hyperlink" Target="https://www.regjeringen.no/en/historical-archive/Stoltenbergs-2nd-Government/Ministry-of-Finance/Nyheter-og-pressemeldinger/pressemeldinger/2009/mining-company-excluded-from-the-governm/id543107/" TargetMode="External"/><Relationship Id="rId7" Type="http://schemas.openxmlformats.org/officeDocument/2006/relationships/hyperlink" Target="http://www." TargetMode="External"/><Relationship Id="rId12" Type="http://schemas.openxmlformats.org/officeDocument/2006/relationships/hyperlink" Target="https://news.vice.com/en_ca/article/bjd4pm/violence-escalating-at-notorious-mine-co-owned-by-canadian-company-locals-say" TargetMode="External"/><Relationship Id="rId2" Type="http://schemas.openxmlformats.org/officeDocument/2006/relationships/hyperlink" Target="http://www.akalitange.org/Reports" TargetMode="External"/><Relationship Id="rId1" Type="http://schemas.openxmlformats.org/officeDocument/2006/relationships/hyperlink" Target="https://www.ipa.gov.pg/pngassociations/viewInstance/view.html?id=8bce5eb996508d567e00585b6b5ab42d0e19824c5715638c&amp;_timestamp=16185208954433171" TargetMode="External"/><Relationship Id="rId6" Type="http://schemas.openxmlformats.org/officeDocument/2006/relationships/hyperlink" Target="http://www." TargetMode="External"/><Relationship Id="rId11" Type="http://schemas.openxmlformats.org/officeDocument/2006/relationships/hyperlink" Target="https://www.enodorights.com/assets/pdf/pillar-III-on-the-ground.pdf" TargetMode="External"/><Relationship Id="rId5" Type="http://schemas.openxmlformats.org/officeDocument/2006/relationships/hyperlink" Target="http://www.right+wrongs.org" TargetMode="External"/><Relationship Id="rId15" Type="http://schemas.openxmlformats.org/officeDocument/2006/relationships/hyperlink" Target="http://www.facing-finance.org" TargetMode="External"/><Relationship Id="rId10" Type="http://schemas.openxmlformats.org/officeDocument/2006/relationships/hyperlink" Target="https://www.enodorights.com/assets/pdf/pillar-III-on-the-ground.pdf" TargetMode="External"/><Relationship Id="rId4" Type="http://schemas.openxmlformats.org/officeDocument/2006/relationships/hyperlink" Target="https://www.hrw.org/sites/default/files/reports/png0211webwcover.pdf" TargetMode="External"/><Relationship Id="rId9" Type="http://schemas.openxmlformats.org/officeDocument/2006/relationships/hyperlink" Target="https://www.ohchr.org/Documents/Forms/AllItems.aspx?RootFolder=%2fDocuments%2fIssues%2fBusiness%2f2017Survey%2fA2R&amp;FolderCTID=0x0120008E9B9CA9834C524B9135759ABDD63BCD" TargetMode="External"/><Relationship Id="rId14" Type="http://schemas.openxmlformats.org/officeDocument/2006/relationships/hyperlink" Target="http://www.facing-finance.org"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3ABD5D11D754CAC95D89580DAB733B0"/>
        <w:category>
          <w:name w:val="General"/>
          <w:gallery w:val="placeholder"/>
        </w:category>
        <w:types>
          <w:type w:val="bbPlcHdr"/>
        </w:types>
        <w:behaviors>
          <w:behavior w:val="content"/>
        </w:behaviors>
        <w:guid w:val="{BF5EDBF5-76B6-4779-9FF5-F467AC332DAC}"/>
      </w:docPartPr>
      <w:docPartBody>
        <w:p w:rsidR="002052EA" w:rsidRDefault="00E114C2" w:rsidP="00E114C2">
          <w:pPr>
            <w:pStyle w:val="23ABD5D11D754CAC95D89580DAB733B0"/>
          </w:pPr>
          <w:r>
            <w:rPr>
              <w:rFonts w:asciiTheme="majorHAnsi" w:eastAsiaTheme="majorEastAsia" w:hAnsiTheme="majorHAnsi" w:cstheme="majorBidi"/>
              <w:sz w:val="80"/>
              <w:szCs w:val="80"/>
            </w:rPr>
            <w:t>[Type the document title]</w:t>
          </w:r>
        </w:p>
      </w:docPartBody>
    </w:docPart>
    <w:docPart>
      <w:docPartPr>
        <w:name w:val="7A2FF8705FE741BEB09D508D920D09A4"/>
        <w:category>
          <w:name w:val="General"/>
          <w:gallery w:val="placeholder"/>
        </w:category>
        <w:types>
          <w:type w:val="bbPlcHdr"/>
        </w:types>
        <w:behaviors>
          <w:behavior w:val="content"/>
        </w:behaviors>
        <w:guid w:val="{D76E6B0C-C9AF-4CAD-86FC-B7250C226380}"/>
      </w:docPartPr>
      <w:docPartBody>
        <w:p w:rsidR="002052EA" w:rsidRDefault="00E114C2" w:rsidP="00E114C2">
          <w:pPr>
            <w:pStyle w:val="7A2FF8705FE741BEB09D508D920D09A4"/>
          </w:pPr>
          <w:r>
            <w:rPr>
              <w:rFonts w:asciiTheme="majorHAnsi" w:eastAsiaTheme="majorEastAsia" w:hAnsiTheme="majorHAnsi" w:cstheme="majorBid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ligraph421 BT">
    <w:panose1 w:val="03060702050402020204"/>
    <w:charset w:val="00"/>
    <w:family w:val="script"/>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ligrapher">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4C2"/>
    <w:rsid w:val="002052EA"/>
    <w:rsid w:val="004B1578"/>
    <w:rsid w:val="007A01A4"/>
    <w:rsid w:val="008C35B1"/>
    <w:rsid w:val="00952B0E"/>
    <w:rsid w:val="00E114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F1B5957A8E241D48511CFE41BC8C7BB">
    <w:name w:val="5F1B5957A8E241D48511CFE41BC8C7BB"/>
    <w:rsid w:val="00E114C2"/>
  </w:style>
  <w:style w:type="paragraph" w:customStyle="1" w:styleId="23ABD5D11D754CAC95D89580DAB733B0">
    <w:name w:val="23ABD5D11D754CAC95D89580DAB733B0"/>
    <w:rsid w:val="00E114C2"/>
  </w:style>
  <w:style w:type="paragraph" w:customStyle="1" w:styleId="7A2FF8705FE741BEB09D508D920D09A4">
    <w:name w:val="7A2FF8705FE741BEB09D508D920D09A4"/>
    <w:rsid w:val="00E114C2"/>
  </w:style>
  <w:style w:type="paragraph" w:customStyle="1" w:styleId="2D2744D8B3C141948814F058592348BA">
    <w:name w:val="2D2744D8B3C141948814F058592348BA"/>
    <w:rsid w:val="00E114C2"/>
  </w:style>
  <w:style w:type="paragraph" w:customStyle="1" w:styleId="4562D8D0F690448F9D114440639E87F2">
    <w:name w:val="4562D8D0F690448F9D114440639E87F2"/>
    <w:rsid w:val="00E114C2"/>
  </w:style>
  <w:style w:type="paragraph" w:customStyle="1" w:styleId="233B88283D184EAEB53A9D5B4444386C">
    <w:name w:val="233B88283D184EAEB53A9D5B4444386C"/>
    <w:rsid w:val="00E114C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F1B5957A8E241D48511CFE41BC8C7BB">
    <w:name w:val="5F1B5957A8E241D48511CFE41BC8C7BB"/>
    <w:rsid w:val="00E114C2"/>
  </w:style>
  <w:style w:type="paragraph" w:customStyle="1" w:styleId="23ABD5D11D754CAC95D89580DAB733B0">
    <w:name w:val="23ABD5D11D754CAC95D89580DAB733B0"/>
    <w:rsid w:val="00E114C2"/>
  </w:style>
  <w:style w:type="paragraph" w:customStyle="1" w:styleId="7A2FF8705FE741BEB09D508D920D09A4">
    <w:name w:val="7A2FF8705FE741BEB09D508D920D09A4"/>
    <w:rsid w:val="00E114C2"/>
  </w:style>
  <w:style w:type="paragraph" w:customStyle="1" w:styleId="2D2744D8B3C141948814F058592348BA">
    <w:name w:val="2D2744D8B3C141948814F058592348BA"/>
    <w:rsid w:val="00E114C2"/>
  </w:style>
  <w:style w:type="paragraph" w:customStyle="1" w:styleId="4562D8D0F690448F9D114440639E87F2">
    <w:name w:val="4562D8D0F690448F9D114440639E87F2"/>
    <w:rsid w:val="00E114C2"/>
  </w:style>
  <w:style w:type="paragraph" w:customStyle="1" w:styleId="233B88283D184EAEB53A9D5B4444386C">
    <w:name w:val="233B88283D184EAEB53A9D5B4444386C"/>
    <w:rsid w:val="00E114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2019-04-29T00:00:00</PublishDate>
  <Abstract> This position paper explains and presents the Akali Tange Association’s (ATA) position in issuing the attached Petition to the Barrick Gold Corp and its subsidiarity Barrick Niugini Limited regarding gross human rights violation issues caused and or created by these mining companies at its Porgera Gold Mine in the highlands of Papua New Guinea.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AF242A-C8A4-4AAF-B135-E06503C6F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10</Pages>
  <Words>2829</Words>
  <Characters>16130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AKALI TANGE ASSOCIATION (ATA) INC</Company>
  <LinksUpToDate>false</LinksUpToDate>
  <CharactersWithSpaces>18922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ATA’s POSITION PAPER</dc:title>
  <dc:subject>IN PETITIONING THE BARRICK GOLD CORP</dc:subject>
  <dc:creator>MCDIYAN ROBERT YAPARI</dc:creator>
  <cp:keywords/>
  <dc:description/>
  <cp:lastModifiedBy>Able Valued Client</cp:lastModifiedBy>
  <cp:revision>45</cp:revision>
  <dcterms:created xsi:type="dcterms:W3CDTF">2019-04-28T04:03:00Z</dcterms:created>
  <dcterms:modified xsi:type="dcterms:W3CDTF">2019-04-30T02:02:00Z</dcterms:modified>
</cp:coreProperties>
</file>